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98" w:rsidRPr="005632E2" w:rsidRDefault="001B0498" w:rsidP="005632E2">
      <w:pPr>
        <w:spacing w:after="0" w:line="240" w:lineRule="auto"/>
        <w:jc w:val="right"/>
        <w:rPr>
          <w:rFonts w:ascii="PT Astra Serif" w:eastAsia="Times New Roman" w:hAnsi="PT Astra Serif" w:cs="Times New Roman"/>
          <w:sz w:val="24"/>
          <w:szCs w:val="24"/>
          <w:lang w:eastAsia="ru-RU"/>
        </w:rPr>
      </w:pPr>
      <w:r w:rsidRPr="005632E2">
        <w:rPr>
          <w:rFonts w:ascii="PT Astra Serif" w:eastAsia="Times New Roman" w:hAnsi="PT Astra Serif" w:cs="Times New Roman"/>
          <w:sz w:val="24"/>
          <w:szCs w:val="24"/>
          <w:lang w:eastAsia="ru-RU"/>
        </w:rPr>
        <w:t>Приложение к письму</w:t>
      </w:r>
    </w:p>
    <w:p w:rsidR="001B0498" w:rsidRPr="005632E2" w:rsidRDefault="001B0498" w:rsidP="005632E2">
      <w:pPr>
        <w:spacing w:after="0" w:line="240" w:lineRule="auto"/>
        <w:jc w:val="right"/>
        <w:rPr>
          <w:rFonts w:ascii="PT Astra Serif" w:eastAsia="Times New Roman" w:hAnsi="PT Astra Serif" w:cs="Times New Roman"/>
          <w:sz w:val="24"/>
          <w:szCs w:val="24"/>
          <w:lang w:eastAsia="ru-RU"/>
        </w:rPr>
      </w:pPr>
      <w:r w:rsidRPr="005632E2">
        <w:rPr>
          <w:rFonts w:ascii="PT Astra Serif" w:eastAsia="Times New Roman" w:hAnsi="PT Astra Serif" w:cs="Times New Roman"/>
          <w:sz w:val="24"/>
          <w:szCs w:val="24"/>
          <w:lang w:eastAsia="ru-RU"/>
        </w:rPr>
        <w:t>от____________ № ___________</w:t>
      </w:r>
    </w:p>
    <w:p w:rsidR="001B0498" w:rsidRPr="005632E2" w:rsidRDefault="001B0498" w:rsidP="005632E2">
      <w:pPr>
        <w:spacing w:after="0" w:line="240" w:lineRule="auto"/>
        <w:jc w:val="right"/>
        <w:rPr>
          <w:rFonts w:ascii="PT Astra Serif" w:eastAsia="Times New Roman" w:hAnsi="PT Astra Serif" w:cs="Times New Roman"/>
          <w:sz w:val="24"/>
          <w:szCs w:val="24"/>
          <w:lang w:eastAsia="ru-RU"/>
        </w:rPr>
      </w:pPr>
    </w:p>
    <w:tbl>
      <w:tblPr>
        <w:tblpPr w:leftFromText="171" w:rightFromText="171" w:vertAnchor="text" w:tblpX="-445"/>
        <w:tblW w:w="15441" w:type="dxa"/>
        <w:tblLayout w:type="fixed"/>
        <w:tblCellMar>
          <w:left w:w="0" w:type="dxa"/>
          <w:right w:w="0" w:type="dxa"/>
        </w:tblCellMar>
        <w:tblLook w:val="04A0" w:firstRow="1" w:lastRow="0" w:firstColumn="1" w:lastColumn="0" w:noHBand="0" w:noVBand="1"/>
      </w:tblPr>
      <w:tblGrid>
        <w:gridCol w:w="757"/>
        <w:gridCol w:w="4620"/>
        <w:gridCol w:w="10064"/>
      </w:tblGrid>
      <w:tr w:rsidR="00CE0113" w:rsidRPr="005632E2" w:rsidTr="00EC2507">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498" w:rsidRPr="005632E2" w:rsidRDefault="001B0498" w:rsidP="005632E2">
            <w:pPr>
              <w:spacing w:after="0" w:line="240" w:lineRule="auto"/>
              <w:jc w:val="both"/>
              <w:rPr>
                <w:rFonts w:ascii="PT Astra Serif" w:hAnsi="PT Astra Serif"/>
                <w:b/>
                <w:bCs/>
                <w:sz w:val="24"/>
                <w:szCs w:val="24"/>
              </w:rPr>
            </w:pPr>
            <w:r w:rsidRPr="005632E2">
              <w:rPr>
                <w:rFonts w:ascii="PT Astra Serif" w:hAnsi="PT Astra Serif"/>
                <w:b/>
                <w:bCs/>
                <w:sz w:val="24"/>
                <w:szCs w:val="24"/>
              </w:rPr>
              <w:t>№ п/п</w:t>
            </w:r>
          </w:p>
        </w:tc>
        <w:tc>
          <w:tcPr>
            <w:tcW w:w="4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498" w:rsidRPr="00885A95" w:rsidRDefault="001B0498" w:rsidP="005632E2">
            <w:pPr>
              <w:spacing w:after="0" w:line="240" w:lineRule="auto"/>
              <w:jc w:val="center"/>
              <w:rPr>
                <w:rFonts w:ascii="PT Astra Serif" w:hAnsi="PT Astra Serif"/>
                <w:b/>
                <w:bCs/>
                <w:szCs w:val="28"/>
              </w:rPr>
            </w:pPr>
            <w:r w:rsidRPr="00885A95">
              <w:rPr>
                <w:rFonts w:ascii="PT Astra Serif" w:hAnsi="PT Astra Serif"/>
                <w:b/>
                <w:bCs/>
                <w:szCs w:val="28"/>
              </w:rPr>
              <w:t>Содержание вопроса</w:t>
            </w:r>
          </w:p>
        </w:tc>
        <w:tc>
          <w:tcPr>
            <w:tcW w:w="10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498" w:rsidRPr="00885A95" w:rsidRDefault="001B0498" w:rsidP="005632E2">
            <w:pPr>
              <w:spacing w:after="0" w:line="240" w:lineRule="auto"/>
              <w:jc w:val="center"/>
              <w:rPr>
                <w:rFonts w:ascii="PT Astra Serif" w:hAnsi="PT Astra Serif"/>
                <w:b/>
                <w:bCs/>
                <w:szCs w:val="28"/>
              </w:rPr>
            </w:pPr>
            <w:r w:rsidRPr="00885A95">
              <w:rPr>
                <w:rFonts w:ascii="PT Astra Serif" w:hAnsi="PT Astra Serif"/>
                <w:b/>
                <w:bCs/>
                <w:szCs w:val="28"/>
              </w:rPr>
              <w:t>Типовая форма ответа</w:t>
            </w:r>
          </w:p>
        </w:tc>
      </w:tr>
      <w:tr w:rsidR="002F69BD" w:rsidRPr="005632E2" w:rsidTr="002C04A5">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9BD" w:rsidRPr="005632E2" w:rsidRDefault="002F69BD" w:rsidP="005632E2">
            <w:pPr>
              <w:tabs>
                <w:tab w:val="left" w:pos="4065"/>
              </w:tabs>
              <w:spacing w:after="0" w:line="240" w:lineRule="auto"/>
              <w:jc w:val="center"/>
              <w:rPr>
                <w:rFonts w:ascii="PT Astra Serif" w:hAnsi="PT Astra Serif"/>
                <w:b/>
                <w:i/>
                <w:szCs w:val="28"/>
              </w:rPr>
            </w:pPr>
            <w:r w:rsidRPr="005632E2">
              <w:rPr>
                <w:rFonts w:ascii="PT Astra Serif" w:hAnsi="PT Astra Serif"/>
                <w:b/>
                <w:i/>
                <w:szCs w:val="28"/>
              </w:rPr>
              <w:t>Транспорт</w:t>
            </w:r>
          </w:p>
        </w:tc>
      </w:tr>
      <w:tr w:rsidR="00940F2E" w:rsidRPr="005632E2" w:rsidTr="00FA27C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F2E" w:rsidRPr="005632E2" w:rsidRDefault="00940F2E"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0F2E" w:rsidRPr="005632E2" w:rsidRDefault="00940F2E" w:rsidP="005632E2">
            <w:pPr>
              <w:autoSpaceDE w:val="0"/>
              <w:autoSpaceDN w:val="0"/>
              <w:spacing w:after="0" w:line="240" w:lineRule="auto"/>
              <w:jc w:val="both"/>
              <w:rPr>
                <w:rFonts w:ascii="PT Astra Serif" w:hAnsi="PT Astra Serif"/>
                <w:bCs/>
                <w:sz w:val="24"/>
                <w:szCs w:val="24"/>
              </w:rPr>
            </w:pPr>
            <w:r w:rsidRPr="005632E2">
              <w:rPr>
                <w:rFonts w:ascii="PT Astra Serif" w:hAnsi="PT Astra Serif"/>
                <w:color w:val="000000"/>
                <w:sz w:val="24"/>
                <w:szCs w:val="24"/>
              </w:rPr>
              <w:t xml:space="preserve">Жалоба на недостаточное количество единиц транспорта по маршрутам </w:t>
            </w:r>
            <w:proofErr w:type="gramStart"/>
            <w:r w:rsidRPr="005632E2">
              <w:rPr>
                <w:rFonts w:ascii="PT Astra Serif" w:hAnsi="PT Astra Serif"/>
                <w:color w:val="000000"/>
                <w:sz w:val="24"/>
                <w:szCs w:val="24"/>
              </w:rPr>
              <w:t>во время</w:t>
            </w:r>
            <w:proofErr w:type="gramEnd"/>
            <w:r w:rsidRPr="005632E2">
              <w:rPr>
                <w:rFonts w:ascii="PT Astra Serif" w:hAnsi="PT Astra Serif"/>
                <w:color w:val="000000"/>
                <w:sz w:val="24"/>
                <w:szCs w:val="24"/>
              </w:rPr>
              <w:t xml:space="preserve"> </w:t>
            </w:r>
            <w:proofErr w:type="spellStart"/>
            <w:r w:rsidRPr="005632E2">
              <w:rPr>
                <w:rFonts w:ascii="PT Astra Serif" w:hAnsi="PT Astra Serif"/>
                <w:color w:val="000000"/>
                <w:sz w:val="24"/>
                <w:szCs w:val="24"/>
              </w:rPr>
              <w:t>коронавируса</w:t>
            </w:r>
            <w:proofErr w:type="spellEnd"/>
            <w:r w:rsidRPr="005632E2">
              <w:rPr>
                <w:rFonts w:ascii="PT Astra Serif" w:hAnsi="PT Astra Serif"/>
                <w:color w:val="000000"/>
                <w:sz w:val="24"/>
                <w:szCs w:val="24"/>
              </w:rPr>
              <w:t>.</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0F2E" w:rsidRPr="005632E2" w:rsidRDefault="00940F2E" w:rsidP="005632E2">
            <w:pPr>
              <w:spacing w:after="0" w:line="240" w:lineRule="auto"/>
              <w:jc w:val="both"/>
              <w:rPr>
                <w:rFonts w:ascii="PT Astra Serif" w:hAnsi="PT Astra Serif"/>
                <w:color w:val="000000"/>
                <w:sz w:val="24"/>
                <w:szCs w:val="24"/>
              </w:rPr>
            </w:pPr>
            <w:r w:rsidRPr="005632E2">
              <w:rPr>
                <w:rFonts w:ascii="PT Astra Serif" w:hAnsi="PT Astra Serif"/>
                <w:color w:val="000000"/>
                <w:sz w:val="24"/>
                <w:szCs w:val="24"/>
              </w:rPr>
              <w:t>В связи со сложной эпидемиологической ситуацией в Тульской области сокращены рейсы по льготным и коммерческим маршрутам.</w:t>
            </w:r>
          </w:p>
        </w:tc>
      </w:tr>
      <w:tr w:rsidR="00940F2E" w:rsidRPr="005632E2" w:rsidTr="00FA27C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F2E" w:rsidRPr="005632E2" w:rsidRDefault="00940F2E"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0F2E" w:rsidRPr="005632E2" w:rsidRDefault="00940F2E" w:rsidP="005632E2">
            <w:pPr>
              <w:spacing w:after="0" w:line="240" w:lineRule="auto"/>
              <w:jc w:val="both"/>
              <w:rPr>
                <w:rFonts w:ascii="PT Astra Serif" w:hAnsi="PT Astra Serif"/>
                <w:bCs/>
                <w:sz w:val="24"/>
                <w:szCs w:val="24"/>
              </w:rPr>
            </w:pPr>
            <w:r w:rsidRPr="005632E2">
              <w:rPr>
                <w:rFonts w:ascii="PT Astra Serif" w:hAnsi="PT Astra Serif"/>
                <w:color w:val="000000"/>
                <w:sz w:val="24"/>
                <w:szCs w:val="24"/>
              </w:rPr>
              <w:t>Вопросы граждан о возможности возврата денежных средств на льготный проездной билет в связи с отсутствием возможности исп</w:t>
            </w:r>
            <w:bookmarkStart w:id="0" w:name="_GoBack"/>
            <w:bookmarkEnd w:id="0"/>
            <w:r w:rsidRPr="005632E2">
              <w:rPr>
                <w:rFonts w:ascii="PT Astra Serif" w:hAnsi="PT Astra Serif"/>
                <w:color w:val="000000"/>
                <w:sz w:val="24"/>
                <w:szCs w:val="24"/>
              </w:rPr>
              <w:t xml:space="preserve">ользования его </w:t>
            </w:r>
            <w:proofErr w:type="gramStart"/>
            <w:r w:rsidRPr="005632E2">
              <w:rPr>
                <w:rFonts w:ascii="PT Astra Serif" w:hAnsi="PT Astra Serif"/>
                <w:color w:val="000000"/>
                <w:sz w:val="24"/>
                <w:szCs w:val="24"/>
              </w:rPr>
              <w:t>во время</w:t>
            </w:r>
            <w:proofErr w:type="gramEnd"/>
            <w:r w:rsidRPr="005632E2">
              <w:rPr>
                <w:rFonts w:ascii="PT Astra Serif" w:hAnsi="PT Astra Serif"/>
                <w:color w:val="000000"/>
                <w:sz w:val="24"/>
                <w:szCs w:val="24"/>
              </w:rPr>
              <w:t xml:space="preserve"> </w:t>
            </w:r>
            <w:proofErr w:type="spellStart"/>
            <w:r w:rsidRPr="005632E2">
              <w:rPr>
                <w:rFonts w:ascii="PT Astra Serif" w:hAnsi="PT Astra Serif"/>
                <w:color w:val="000000"/>
                <w:sz w:val="24"/>
                <w:szCs w:val="24"/>
              </w:rPr>
              <w:t>коронавируса</w:t>
            </w:r>
            <w:proofErr w:type="spellEnd"/>
            <w:r w:rsidRPr="005632E2">
              <w:rPr>
                <w:rFonts w:ascii="PT Astra Serif" w:hAnsi="PT Astra Serif"/>
                <w:color w:val="000000"/>
                <w:sz w:val="24"/>
                <w:szCs w:val="24"/>
              </w:rPr>
              <w:t>.</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0F2E" w:rsidRPr="005632E2" w:rsidRDefault="00940F2E" w:rsidP="005632E2">
            <w:pPr>
              <w:pStyle w:val="af"/>
              <w:spacing w:after="0"/>
              <w:jc w:val="both"/>
              <w:rPr>
                <w:rFonts w:ascii="PT Astra Serif" w:hAnsi="PT Astra Serif"/>
              </w:rPr>
            </w:pPr>
            <w:r w:rsidRPr="005632E2">
              <w:rPr>
                <w:rFonts w:ascii="PT Astra Serif" w:hAnsi="PT Astra Serif"/>
              </w:rPr>
              <w:t xml:space="preserve">Стоимость ЕМЛПБ в месяце, следующим за месяцем, в котором было приостановление, уменьшается пропорционально количеству дней, на которое было приостановлено действие ЕМЛПБ. </w:t>
            </w:r>
          </w:p>
          <w:p w:rsidR="00940F2E" w:rsidRPr="005632E2" w:rsidRDefault="00940F2E" w:rsidP="005632E2">
            <w:pPr>
              <w:pStyle w:val="af"/>
              <w:spacing w:after="0"/>
              <w:jc w:val="both"/>
              <w:rPr>
                <w:rFonts w:ascii="PT Astra Serif" w:hAnsi="PT Astra Serif"/>
                <w:color w:val="000000"/>
              </w:rPr>
            </w:pPr>
            <w:r w:rsidRPr="005632E2">
              <w:rPr>
                <w:rFonts w:ascii="PT Astra Serif" w:hAnsi="PT Astra Serif"/>
              </w:rPr>
              <w:t xml:space="preserve">В соответствии с правилами автоматизированной системы оплаты проезда на территории Тульской области возврат денежных средств за социальный проездной билет не предусмотрен. </w:t>
            </w:r>
            <w:r w:rsidRPr="005632E2">
              <w:t>​</w:t>
            </w:r>
          </w:p>
        </w:tc>
      </w:tr>
      <w:tr w:rsidR="00536172" w:rsidRPr="005632E2"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6172" w:rsidRPr="005632E2" w:rsidRDefault="007D22F0" w:rsidP="005632E2">
            <w:pPr>
              <w:spacing w:after="0" w:line="240" w:lineRule="auto"/>
              <w:ind w:firstLine="459"/>
              <w:jc w:val="center"/>
              <w:rPr>
                <w:rFonts w:ascii="PT Astra Serif" w:hAnsi="PT Astra Serif"/>
                <w:b/>
                <w:i/>
                <w:szCs w:val="28"/>
              </w:rPr>
            </w:pPr>
            <w:r w:rsidRPr="005632E2">
              <w:rPr>
                <w:rFonts w:ascii="PT Astra Serif" w:hAnsi="PT Astra Serif"/>
                <w:b/>
                <w:i/>
                <w:szCs w:val="28"/>
              </w:rPr>
              <w:t>Тарифы</w:t>
            </w:r>
          </w:p>
        </w:tc>
      </w:tr>
      <w:tr w:rsidR="003713ED" w:rsidRPr="005632E2"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Где можно получить информацию об установленных тарифах на коммунальные услуги?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 xml:space="preserve">В соответствии с действующим законодательством тарифы на коммунальные услуги устанавливаются органами исполнительной власти субъектов Российской Федерации в области государственного регулирования цен (тарифов). В Тульской области такими полномочиями наделен комитет Тульской области по тарифам. Постановления регулирующего органа об установлении тарифов публикуется в установленном порядке. Информацию об установленных тарифах конкретной регулируемой организации можно узнать при обращении к источникам официальной публикации упомянутых нормативных правовых актов, в различных информационных системах (консультант плюс, гарант), в сетевом издании «Сборник правовых актов Тульской области и иной официальной информации», учреждённом постановлением правительства Тульской области № 8 от 17.01.2014. Официальный адрес сайта сетевого издания «Сборник правовых актов Тульской области и иной официальной информации» в информационно-телекоммуникационной сети «Интернет» - </w:t>
            </w:r>
            <w:hyperlink r:id="rId6" w:history="1">
              <w:r w:rsidRPr="005632E2">
                <w:rPr>
                  <w:rStyle w:val="a3"/>
                  <w:rFonts w:ascii="PT Astra Serif" w:eastAsia="Calibri" w:hAnsi="PT Astra Serif" w:cs="Times New Roman"/>
                  <w:sz w:val="24"/>
                  <w:szCs w:val="24"/>
                </w:rPr>
                <w:t>http://npatula.ru</w:t>
              </w:r>
            </w:hyperlink>
            <w:r w:rsidRPr="005632E2">
              <w:rPr>
                <w:rFonts w:ascii="PT Astra Serif" w:eastAsia="Calibri" w:hAnsi="PT Astra Serif" w:cs="Times New Roman"/>
                <w:sz w:val="24"/>
                <w:szCs w:val="24"/>
              </w:rPr>
              <w:t xml:space="preserve">. Сборник является сетевым изданием бесплатного доступа. Также информация публикуется на «Официальном интернет-портале правовой информации» по адресу: </w:t>
            </w:r>
            <w:hyperlink r:id="rId7" w:history="1">
              <w:r w:rsidRPr="005632E2">
                <w:rPr>
                  <w:rStyle w:val="a3"/>
                  <w:rFonts w:ascii="PT Astra Serif" w:eastAsia="Calibri" w:hAnsi="PT Astra Serif" w:cs="Times New Roman"/>
                  <w:sz w:val="24"/>
                  <w:szCs w:val="24"/>
                </w:rPr>
                <w:t>http://pravo.gov.ru</w:t>
              </w:r>
            </w:hyperlink>
            <w:r w:rsidRPr="005632E2">
              <w:rPr>
                <w:rFonts w:ascii="PT Astra Serif" w:eastAsia="Calibri" w:hAnsi="PT Astra Serif" w:cs="Times New Roman"/>
                <w:sz w:val="24"/>
                <w:szCs w:val="24"/>
              </w:rPr>
              <w:t xml:space="preserve">, который является сетевым изданием и входит в государственную систему правовой информации, функционирование которой обеспечивает федеральный орган исполнительной власти, осуществляющий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Дополнительно информация о тарифах размещена на сайте комитета </w:t>
            </w:r>
            <w:hyperlink r:id="rId8" w:history="1">
              <w:r w:rsidRPr="005632E2">
                <w:rPr>
                  <w:rStyle w:val="a3"/>
                  <w:rFonts w:ascii="PT Astra Serif" w:eastAsia="Calibri" w:hAnsi="PT Astra Serif" w:cs="Times New Roman"/>
                  <w:sz w:val="24"/>
                  <w:szCs w:val="24"/>
                </w:rPr>
                <w:t>http://tarif.tularegion.ru</w:t>
              </w:r>
            </w:hyperlink>
            <w:r w:rsidRPr="005632E2">
              <w:rPr>
                <w:rFonts w:ascii="PT Astra Serif" w:eastAsia="Calibri" w:hAnsi="PT Astra Serif" w:cs="Times New Roman"/>
                <w:sz w:val="24"/>
                <w:szCs w:val="24"/>
              </w:rPr>
              <w:t xml:space="preserve"> в разделе </w:t>
            </w:r>
            <w:r w:rsidRPr="005632E2">
              <w:rPr>
                <w:rFonts w:ascii="PT Astra Serif" w:eastAsia="Calibri" w:hAnsi="PT Astra Serif" w:cs="Times New Roman"/>
                <w:sz w:val="24"/>
                <w:szCs w:val="24"/>
              </w:rPr>
              <w:lastRenderedPageBreak/>
              <w:t xml:space="preserve">«Документы» - «Справочник по тарифам» в разрезе муниципальных образований Тульской области. </w:t>
            </w:r>
          </w:p>
        </w:tc>
      </w:tr>
      <w:tr w:rsidR="003713ED" w:rsidRPr="005632E2"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Каков размер тарифа на электрическую энергию в садоводческих кооперативах, расположенных в сельской местности?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Регулирование тарифов на электрическую энергию в Российской Федерации осуществляется на основе Федерального закона от 26.03.2003 № 35-ФЗ «Об электроэнергетике», постановления Правительства Российской Федерации от 29.12.2011 № 1178 «О ценообразовании в области регулируемых цен (тарифов) в электроэнергетике».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В соответствии с вышеуказанными документами тарифы на электроэнергию, поставляемую </w:t>
            </w:r>
            <w:proofErr w:type="spellStart"/>
            <w:r w:rsidRPr="005632E2">
              <w:rPr>
                <w:rFonts w:ascii="PT Astra Serif" w:hAnsi="PT Astra Serif" w:cs="Times New Roman"/>
                <w:sz w:val="24"/>
                <w:szCs w:val="24"/>
              </w:rPr>
              <w:t>энергоснабжающими</w:t>
            </w:r>
            <w:proofErr w:type="spellEnd"/>
            <w:r w:rsidRPr="005632E2">
              <w:rPr>
                <w:rFonts w:ascii="PT Astra Serif" w:hAnsi="PT Astra Serif" w:cs="Times New Roman"/>
                <w:sz w:val="24"/>
                <w:szCs w:val="24"/>
              </w:rPr>
              <w:t xml:space="preserve"> организациями населению, комитет Тульской области по тарифам утверждает в рамках предельных уровней, устанавливаемых ФАС России.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Постановлением комитета Тульской области по тарифам от 19.12.2019 № 46/2 «Об установлении цен (тарифов) на электрическую энергию для населения и приравненных к нему категорий потребителей по Тульской области на 2020 год» утверждены следующие тарифы с учетом НДС: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c 01.01.2020 по 30.06.2020: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для населения, проживающего в городских населенных пунктах - 4,35 руб./</w:t>
            </w:r>
            <w:proofErr w:type="spellStart"/>
            <w:r w:rsidRPr="005632E2">
              <w:rPr>
                <w:rFonts w:ascii="PT Astra Serif" w:hAnsi="PT Astra Serif" w:cs="Times New Roman"/>
                <w:sz w:val="24"/>
                <w:szCs w:val="24"/>
              </w:rPr>
              <w:t>кВтч</w:t>
            </w:r>
            <w:proofErr w:type="spellEnd"/>
            <w:r w:rsidRPr="005632E2">
              <w:rPr>
                <w:rFonts w:ascii="PT Astra Serif" w:hAnsi="PT Astra Serif" w:cs="Times New Roman"/>
                <w:sz w:val="24"/>
                <w:szCs w:val="24"/>
              </w:rPr>
              <w:t xml:space="preserve">;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для населения, проживающего в сельских населенных пунктах, и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- 3,05 руб./</w:t>
            </w:r>
            <w:proofErr w:type="spellStart"/>
            <w:r w:rsidRPr="005632E2">
              <w:rPr>
                <w:rFonts w:ascii="PT Astra Serif" w:hAnsi="PT Astra Serif" w:cs="Times New Roman"/>
                <w:sz w:val="24"/>
                <w:szCs w:val="24"/>
              </w:rPr>
              <w:t>кВтч</w:t>
            </w:r>
            <w:proofErr w:type="spellEnd"/>
            <w:r w:rsidRPr="005632E2">
              <w:rPr>
                <w:rFonts w:ascii="PT Astra Serif" w:hAnsi="PT Astra Serif" w:cs="Times New Roman"/>
                <w:sz w:val="24"/>
                <w:szCs w:val="24"/>
              </w:rPr>
              <w:t xml:space="preserve">;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c 01.07.2020 по 31.12.2020: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для населения, проживающего в городских населенных пунктах - 4,57 руб./</w:t>
            </w:r>
            <w:proofErr w:type="spellStart"/>
            <w:r w:rsidRPr="005632E2">
              <w:rPr>
                <w:rFonts w:ascii="PT Astra Serif" w:hAnsi="PT Astra Serif" w:cs="Times New Roman"/>
                <w:sz w:val="24"/>
                <w:szCs w:val="24"/>
              </w:rPr>
              <w:t>кВтч</w:t>
            </w:r>
            <w:proofErr w:type="spellEnd"/>
            <w:r w:rsidRPr="005632E2">
              <w:rPr>
                <w:rFonts w:ascii="PT Astra Serif" w:hAnsi="PT Astra Serif" w:cs="Times New Roman"/>
                <w:sz w:val="24"/>
                <w:szCs w:val="24"/>
              </w:rPr>
              <w:t xml:space="preserve">;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для населения, проживающего в сельских населенных пунктах, и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- 3,20 руб./</w:t>
            </w:r>
            <w:proofErr w:type="spellStart"/>
            <w:r w:rsidRPr="005632E2">
              <w:rPr>
                <w:rFonts w:ascii="PT Astra Serif" w:hAnsi="PT Astra Serif" w:cs="Times New Roman"/>
                <w:sz w:val="24"/>
                <w:szCs w:val="24"/>
              </w:rPr>
              <w:t>кВтч</w:t>
            </w:r>
            <w:proofErr w:type="spellEnd"/>
            <w:r w:rsidRPr="005632E2">
              <w:rPr>
                <w:rFonts w:ascii="PT Astra Serif" w:hAnsi="PT Astra Serif" w:cs="Times New Roman"/>
                <w:sz w:val="24"/>
                <w:szCs w:val="24"/>
              </w:rPr>
              <w:t xml:space="preserve">.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В соответствии с указанным постановлением к потребителям, приравненным к категории «население», относятся, в том числе, садоводческие, огороднические или дачные некоммерческие организации, учрежденные гражданами на добровольных началах для содействия ее членам в решении общих социально – хозяйственных задач ведения садоводства, огородничества и дачного хозяйства. </w:t>
            </w:r>
          </w:p>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hAnsi="PT Astra Serif" w:cs="Times New Roman"/>
                <w:sz w:val="24"/>
                <w:szCs w:val="24"/>
              </w:rPr>
              <w:t>Учитывая, что граждане - члены садоводческих товариществ, не имеют сельской регистрации, то оплата потребленной электроэнергии независимо от способа учёта потреблённой энергии (по общему счётчику или на основании показаний индивидуальных приборов учёта), членами садоводческих, огороднических и дачных некоммерческих объединений граждан должна производиться по тарифам, установленным для городского населения.</w:t>
            </w:r>
          </w:p>
        </w:tc>
      </w:tr>
      <w:tr w:rsidR="003713ED" w:rsidRPr="005632E2"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Кто устанавливает размер платы за содержание и ремонт жилья?</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Размер платы за содержание и ремонт жилья для собственников жилых помещений в многоквартирном доме государственному регулированию не подлежит и предельным индексом не ограничивается. В соответствии со статьей 161 Жилищного кодекса Российской Федерации собственники жилых помещений в многоквартирном доме имеют право самостоятельно </w:t>
            </w:r>
            <w:r w:rsidRPr="005632E2">
              <w:rPr>
                <w:rFonts w:ascii="PT Astra Serif" w:hAnsi="PT Astra Serif" w:cs="Times New Roman"/>
                <w:sz w:val="24"/>
                <w:szCs w:val="24"/>
              </w:rPr>
              <w:lastRenderedPageBreak/>
              <w:t>выбрать наиболее удобный для них способ управления многоквартирным домом. При этом плата за содержание и ремонт жилья устанавливается на общем собрании собственников путем определения перечня, объема и периодичности работ, таким образом появляется возможность оплачивать только те работы и услуги, которые сами собственники считают необходимыми производить в доме и контролировать целевое использование своих средств. В случае, если собственники помещений в многоквартирном доме не выбрали способ управления домом или если принятое решение о выборе способа управления этим домом не было реализовано, открытый конкурс по отбору управляющей организации проводит орган местного самоуправления и размер платы за содержание и ремонт жилья определяется на конкурсных условиях. Размер платы за содержание и ремонт жилого помещения для нанимателей жилых помещений также утверждается органами местного самоуправления.</w:t>
            </w:r>
          </w:p>
        </w:tc>
      </w:tr>
      <w:tr w:rsidR="003713ED" w:rsidRPr="005632E2"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Почему на одну и ту же коммунальную услугу устанавливаются разные тарифы?</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В соответствии с действующим законодательством тарифы на регулируемые виды деятельности устанавливаются для каждой организации, их осуществляющей. Величина экономически обоснованного тарифа на услугу организации зависит от условий хозяйствования этой организации и от технологических особенностей оказания конкретной услуги (протяженности сетей, их износа, марок и уровня энергоемкости используемого оборудования). Существенное влияние оказывают и ценовые факторы: стоимость применяемых </w:t>
            </w:r>
            <w:proofErr w:type="spellStart"/>
            <w:r w:rsidRPr="005632E2">
              <w:rPr>
                <w:rFonts w:ascii="PT Astra Serif" w:hAnsi="PT Astra Serif" w:cs="Times New Roman"/>
                <w:sz w:val="24"/>
                <w:szCs w:val="24"/>
              </w:rPr>
              <w:t>энерго</w:t>
            </w:r>
            <w:proofErr w:type="spellEnd"/>
            <w:r w:rsidRPr="005632E2">
              <w:rPr>
                <w:rFonts w:ascii="PT Astra Serif" w:hAnsi="PT Astra Serif" w:cs="Times New Roman"/>
                <w:sz w:val="24"/>
                <w:szCs w:val="24"/>
              </w:rPr>
              <w:t>- и материальных ресурсов, заработная плата исполнителей услуги, структура и размер накладных расходов, режим налогообложения, применяемый организацией, и объем реализации услуги, то есть количество ее потребителей. Совокупность перечисленных факторов приводит к установлению различной стоимости одной услуги, оказываемой разными производителями коммунальных услуг.</w:t>
            </w:r>
          </w:p>
        </w:tc>
      </w:tr>
      <w:tr w:rsidR="003713ED" w:rsidRPr="005632E2"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Чем вызван рост тарифов на коммунальные услуги?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Тарифы на коммунальные услуги для </w:t>
            </w:r>
            <w:proofErr w:type="spellStart"/>
            <w:r w:rsidRPr="005632E2">
              <w:rPr>
                <w:rFonts w:ascii="PT Astra Serif" w:hAnsi="PT Astra Serif" w:cs="Times New Roman"/>
                <w:sz w:val="24"/>
                <w:szCs w:val="24"/>
              </w:rPr>
              <w:t>ресурсоснабжающих</w:t>
            </w:r>
            <w:proofErr w:type="spellEnd"/>
            <w:r w:rsidRPr="005632E2">
              <w:rPr>
                <w:rFonts w:ascii="PT Astra Serif" w:hAnsi="PT Astra Serif" w:cs="Times New Roman"/>
                <w:sz w:val="24"/>
                <w:szCs w:val="24"/>
              </w:rPr>
              <w:t xml:space="preserve"> организаций Тульской области утверждаются комитетом Тульской области по тарифам в рамках предельных уровней, устанавливаемых ФАС России, исходя из экономически обоснованных затрат по каждому предприятию, оказывающему эти услуги. Изменение тарифов обусловлено объективными факторами – ростом оптовых цен на природный газ (основное топливо электростанций и котельных региона) и электрическую энергию, закупаемую на оптовом рынке по свободным (нерегулируемым) ценам; необходимостью индексации заработной платы работников коммунальной сферы и топливно-энергетического комплекса в соответствии с прогнозным ростом потребительских цен и др. Изменение какой-либо составляющей платежа за коммунальную услугу (стоимости коммунального ресурса или объема потребления коммунальной услуги) влечет за собой изменение размера платежа за коммунальную услугу.</w:t>
            </w:r>
          </w:p>
        </w:tc>
      </w:tr>
      <w:tr w:rsidR="003713ED" w:rsidRPr="005632E2"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О тарифах на услуги региональных операторов по обращению с ТКО на территории Тульской области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В соответствии с Федеральным законом от 24 июня 1998 года № 89-ФЗ «Об отходах производства и потребления», постановлением Правительства Российской Федерации от 30 мая 2016 года № 484 «О ценообразовании в области обращения с твердыми коммунальными </w:t>
            </w:r>
            <w:r w:rsidRPr="005632E2">
              <w:rPr>
                <w:rFonts w:ascii="PT Astra Serif" w:hAnsi="PT Astra Serif" w:cs="Times New Roman"/>
                <w:sz w:val="24"/>
                <w:szCs w:val="24"/>
              </w:rPr>
              <w:lastRenderedPageBreak/>
              <w:t xml:space="preserve">отходами», Методическими указаниями по расчету регулируемых тарифов в области обращения с твердыми коммунальными отходами, утвержденных приказом ФАС России от 21 ноября 2016 года № 1638/16 «Об утверждении Методических указаний по расчету регулируемых тарифов в области обращения с твердыми коммунальными отходами», с 01.01.2019 осуществлен переход на новую систему обращения с твердыми коммунальными отходами (далее – ТКО). С этого момента услуга по вывозу ТКО перешла из статуса «жилищной» (исключена из состава платы за содержание и ремонт жилья) в статус «коммунальной» и взимается с каждого образователя (собственника) ТКО (физического или юридического лица) исходя из единого тарифа и норматива накопления ТКО.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По итогам проведения конкурсных процедур по отбору региональных операторов по обращению с твердыми коммунальными отходами министерством природных ресурсов и экологии Тульской области 28.04.2018 заключены соглашения с ООО «Хартия» и ООО «МСК-НТ» об организации деятельности по обращению с твердыми коммунальными отходами на территории Тульской области.</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ООО «Хартия» обслуживает МО город Тула, Киреевский и Щекинский районы, ООО «МСК-НТ» все остальные районы и округа Тульской области.</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Годовые нормативы накопления ТКО утверждены приказом министерства строительства и жилищно-коммунального хозяйства Тульской области от 31.10.2017 г. № 93 «Об утверждении нормативов накопления твердых коммунальных отходов на территории Тульской области». Для населения, проживающего в индивидуальных жилых домах, норматив накопления составит 2,65 куб. м./год, в многоквартирных домах - 2,30 куб. м./год с одного проживающего.</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Предельные единые тарифы на услуги региональных операторов по обращению с твердыми коммунальными отходами на 2020 год утверждены постановлением комитета Тульской области по тарифам от 20.12.2019 № 47/1 «Об утверждении предельных единых тарифов на услуги региональных операторов по обращению с твердыми коммунальными отходами на территории Тульской области на 2020 год». В связи с освобождением региональных операторов от уплаты налога на добавленную стоимость (подпункт «а» пункта 2 статьи 1 Федерального закона № 211-ФЗ «О внесении изменений в главы 21 и 25 части второй Налогового кодекса Российской Федерации») и увеличением объема оказываемых услуг предельный тариф с 1 января 2020 года для ООО «Хартия» снизился на 9,8% и составил 561,20 руб./куб. м., для ООО «МСК-НТ» снизился на 10,3% и составил 670,30 руб./куб. м.</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 xml:space="preserve">Размер платы за вывоз ТКО в месяц рассчитывается следующим образом: (количество проживающих * норматив * тариф) / 12 месяцев. </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Таким образом, размер платы за вывоз ТКО в месяц для одного проживающего составляет:</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для ООО «Хартия»:</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в индивидуальных жилых домах – 123 руб. 93 коп. (1*2,65*561,20) /12;</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lastRenderedPageBreak/>
              <w:t>в многоквартирных домах - 107 руб. 56 коп. (1*2,3*561,20) /12;</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для ООО «МСК-НТ»:</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в индивидуальных жилых домах – 148 руб. 02 коп. (1*2,65*670,30) /12;</w:t>
            </w:r>
          </w:p>
          <w:p w:rsidR="003713ED" w:rsidRPr="005632E2" w:rsidRDefault="003713ED" w:rsidP="005632E2">
            <w:pPr>
              <w:spacing w:after="0" w:line="240" w:lineRule="auto"/>
              <w:jc w:val="both"/>
              <w:rPr>
                <w:rFonts w:ascii="PT Astra Serif" w:hAnsi="PT Astra Serif" w:cs="Times New Roman"/>
                <w:sz w:val="24"/>
                <w:szCs w:val="24"/>
              </w:rPr>
            </w:pPr>
            <w:r w:rsidRPr="005632E2">
              <w:rPr>
                <w:rFonts w:ascii="PT Astra Serif" w:hAnsi="PT Astra Serif" w:cs="Times New Roman"/>
                <w:sz w:val="24"/>
                <w:szCs w:val="24"/>
              </w:rPr>
              <w:t>в многоквартирных домах - 128 руб. 47 коп. (1*2,3*670,30) /12.</w:t>
            </w:r>
          </w:p>
        </w:tc>
      </w:tr>
      <w:tr w:rsidR="00B3006B" w:rsidRPr="005632E2"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06B" w:rsidRPr="005632E2" w:rsidRDefault="00FF78AB" w:rsidP="005632E2">
            <w:pPr>
              <w:spacing w:after="0" w:line="240" w:lineRule="auto"/>
              <w:ind w:firstLine="459"/>
              <w:jc w:val="center"/>
              <w:rPr>
                <w:rFonts w:ascii="PT Astra Serif" w:hAnsi="PT Astra Serif"/>
                <w:b/>
                <w:i/>
                <w:szCs w:val="28"/>
              </w:rPr>
            </w:pPr>
            <w:r w:rsidRPr="005632E2">
              <w:rPr>
                <w:rFonts w:ascii="PT Astra Serif" w:hAnsi="PT Astra Serif"/>
                <w:b/>
                <w:i/>
                <w:szCs w:val="28"/>
              </w:rPr>
              <w:lastRenderedPageBreak/>
              <w:t>Земельные правоотношения</w:t>
            </w:r>
          </w:p>
        </w:tc>
      </w:tr>
      <w:tr w:rsidR="00FF78AB" w:rsidRPr="005632E2" w:rsidTr="00BE4BC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8AB" w:rsidRPr="005632E2" w:rsidRDefault="00FF78AB"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F78AB" w:rsidRPr="005632E2" w:rsidRDefault="00FF78AB" w:rsidP="005632E2">
            <w:pPr>
              <w:spacing w:after="0" w:line="240" w:lineRule="auto"/>
              <w:jc w:val="both"/>
              <w:rPr>
                <w:rFonts w:ascii="PT Astra Serif" w:hAnsi="PT Astra Serif"/>
                <w:sz w:val="24"/>
                <w:szCs w:val="24"/>
              </w:rPr>
            </w:pPr>
            <w:r w:rsidRPr="005632E2">
              <w:rPr>
                <w:rFonts w:ascii="PT Astra Serif" w:eastAsia="Times New Roman" w:hAnsi="PT Astra Serif"/>
                <w:sz w:val="24"/>
                <w:szCs w:val="24"/>
                <w:lang w:eastAsia="ru-RU"/>
              </w:rPr>
              <w:t>Как гражданам оспорить кадастровую стоимость земельного участка?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8AB" w:rsidRPr="005632E2" w:rsidRDefault="00FF78AB" w:rsidP="005632E2">
            <w:pPr>
              <w:pStyle w:val="a8"/>
              <w:spacing w:after="0"/>
              <w:contextualSpacing/>
              <w:jc w:val="both"/>
              <w:rPr>
                <w:rFonts w:ascii="PT Astra Serif" w:hAnsi="PT Astra Serif"/>
              </w:rPr>
            </w:pPr>
            <w:r w:rsidRPr="005632E2">
              <w:rPr>
                <w:rFonts w:ascii="PT Astra Serif" w:hAnsi="PT Astra Serif"/>
                <w:bCs/>
                <w:iCs/>
              </w:rPr>
              <w:t xml:space="preserve">В силу </w:t>
            </w:r>
            <w:r w:rsidRPr="005632E2">
              <w:rPr>
                <w:rFonts w:ascii="PT Astra Serif" w:hAnsi="PT Astra Serif"/>
              </w:rPr>
              <w:t>ст. 24.18 Федерального закона от 29.07.1998 № 135-ФЗ «Об оценочной деятельности в Российской Федерации» 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rsidR="00FF78AB" w:rsidRPr="005632E2" w:rsidRDefault="00FF78AB" w:rsidP="005632E2">
            <w:pPr>
              <w:pStyle w:val="a8"/>
              <w:spacing w:after="0"/>
              <w:contextualSpacing/>
              <w:jc w:val="both"/>
              <w:rPr>
                <w:rFonts w:ascii="PT Astra Serif" w:hAnsi="PT Astra Serif"/>
              </w:rPr>
            </w:pPr>
            <w:r w:rsidRPr="005632E2">
              <w:rPr>
                <w:rFonts w:ascii="PT Astra Serif" w:hAnsi="PT Astra Serif"/>
              </w:rPr>
              <w:t xml:space="preserve">Приказом Федеральной службы государственной регистрации, кадастра и картографии от 25.07.2012 № П/321 при Управлении </w:t>
            </w:r>
            <w:proofErr w:type="spellStart"/>
            <w:r w:rsidRPr="005632E2">
              <w:rPr>
                <w:rFonts w:ascii="PT Astra Serif" w:hAnsi="PT Astra Serif"/>
              </w:rPr>
              <w:t>Росреестра</w:t>
            </w:r>
            <w:proofErr w:type="spellEnd"/>
            <w:r w:rsidRPr="005632E2">
              <w:rPr>
                <w:rFonts w:ascii="PT Astra Serif" w:hAnsi="PT Astra Serif"/>
              </w:rPr>
              <w:t xml:space="preserve"> по Тульской области создана комиссия по рассмотрению споров о результатах определения кадастровой стоимости.</w:t>
            </w:r>
          </w:p>
          <w:p w:rsidR="00FF78AB" w:rsidRPr="005632E2" w:rsidRDefault="00FF78AB" w:rsidP="005632E2">
            <w:pPr>
              <w:pStyle w:val="a8"/>
              <w:spacing w:after="0"/>
              <w:contextualSpacing/>
              <w:jc w:val="both"/>
              <w:rPr>
                <w:rFonts w:ascii="PT Astra Serif" w:hAnsi="PT Astra Serif"/>
              </w:rPr>
            </w:pPr>
            <w:r w:rsidRPr="005632E2">
              <w:rPr>
                <w:rFonts w:ascii="PT Astra Serif" w:hAnsi="PT Astra Serif"/>
                <w:bCs/>
              </w:rPr>
              <w:t xml:space="preserve">По вопросу </w:t>
            </w:r>
            <w:r w:rsidRPr="005632E2">
              <w:rPr>
                <w:rFonts w:ascii="PT Astra Serif" w:hAnsi="PT Astra Serif"/>
              </w:rPr>
              <w:t xml:space="preserve">оспаривания результатов определения кадастровой стоимости земельного участка заявитель вправе обратиться в Управление </w:t>
            </w:r>
            <w:proofErr w:type="spellStart"/>
            <w:r w:rsidRPr="005632E2">
              <w:rPr>
                <w:rFonts w:ascii="PT Astra Serif" w:hAnsi="PT Astra Serif"/>
              </w:rPr>
              <w:t>Росреестра</w:t>
            </w:r>
            <w:proofErr w:type="spellEnd"/>
            <w:r w:rsidRPr="005632E2">
              <w:rPr>
                <w:rFonts w:ascii="PT Astra Serif" w:hAnsi="PT Astra Serif"/>
              </w:rPr>
              <w:t xml:space="preserve"> по Тульской области </w:t>
            </w:r>
            <w:r w:rsidRPr="005632E2">
              <w:rPr>
                <w:rFonts w:ascii="PT Astra Serif" w:hAnsi="PT Astra Serif"/>
                <w:bCs/>
              </w:rPr>
              <w:t>(300002, город Тула, ул. Комсомольская, д.45)</w:t>
            </w:r>
            <w:r w:rsidRPr="005632E2">
              <w:rPr>
                <w:rFonts w:ascii="PT Astra Serif" w:hAnsi="PT Astra Serif"/>
              </w:rPr>
              <w:t>.</w:t>
            </w:r>
          </w:p>
          <w:p w:rsidR="00FF78AB" w:rsidRPr="005632E2" w:rsidRDefault="00FF78AB" w:rsidP="005632E2">
            <w:pPr>
              <w:spacing w:after="0" w:line="240" w:lineRule="auto"/>
              <w:jc w:val="both"/>
              <w:rPr>
                <w:rFonts w:ascii="PT Astra Serif" w:eastAsia="Calibri" w:hAnsi="PT Astra Serif"/>
                <w:sz w:val="24"/>
                <w:szCs w:val="24"/>
              </w:rPr>
            </w:pPr>
            <w:r w:rsidRPr="005632E2">
              <w:rPr>
                <w:rFonts w:ascii="PT Astra Serif" w:hAnsi="PT Astra Serif"/>
                <w:sz w:val="24"/>
                <w:szCs w:val="24"/>
              </w:rPr>
              <w:t xml:space="preserve">Информация о порядке оспаривания кадастровой стоимости объектов недвижимости размещена на </w:t>
            </w:r>
            <w:r w:rsidRPr="005632E2">
              <w:rPr>
                <w:rFonts w:ascii="PT Astra Serif" w:eastAsia="Calibri" w:hAnsi="PT Astra Serif"/>
                <w:sz w:val="24"/>
                <w:szCs w:val="24"/>
              </w:rPr>
              <w:t>официальном сайте министерства имущественных и земельных отношений Тульской области в информационно-телекоммуникационной сети «Интернет» в разделе «Часто задаваемые вопросы».</w:t>
            </w:r>
          </w:p>
          <w:p w:rsidR="00FF78AB" w:rsidRPr="005632E2" w:rsidRDefault="00FF78AB" w:rsidP="005632E2">
            <w:pPr>
              <w:pStyle w:val="af"/>
              <w:suppressAutoHyphens/>
              <w:spacing w:after="0"/>
              <w:jc w:val="both"/>
              <w:rPr>
                <w:rFonts w:ascii="PT Astra Serif" w:hAnsi="PT Astra Serif"/>
                <w:color w:val="000000"/>
                <w:shd w:val="clear" w:color="auto" w:fill="FFFFFF"/>
              </w:rPr>
            </w:pPr>
            <w:r w:rsidRPr="005632E2">
              <w:rPr>
                <w:rFonts w:ascii="PT Astra Serif" w:hAnsi="PT Astra Serif"/>
                <w:color w:val="000000"/>
                <w:shd w:val="clear" w:color="auto" w:fill="FFFFFF"/>
              </w:rPr>
              <w:t xml:space="preserve">В соответствии с постановлением правительства Тульской области от 26.08.2019 № 395 «О проведении государственной кадастровой оценки земель на территории Тульской области» государственное учреждение Тульской области «Областное бюро технической инвентаризации» (далее – </w:t>
            </w:r>
            <w:r w:rsidRPr="005632E2">
              <w:rPr>
                <w:rFonts w:ascii="PT Astra Serif" w:hAnsi="PT Astra Serif"/>
              </w:rPr>
              <w:t>ГУ ТО «Областное БТИ»</w:t>
            </w:r>
            <w:r w:rsidRPr="005632E2">
              <w:rPr>
                <w:rFonts w:ascii="PT Astra Serif" w:hAnsi="PT Astra Serif"/>
                <w:color w:val="000000"/>
                <w:shd w:val="clear" w:color="auto" w:fill="FFFFFF"/>
              </w:rPr>
              <w:t>) в 2020 году осуществляет определение кадастровой стоимости земельных участков по состоянию на 01.01.2020.</w:t>
            </w:r>
          </w:p>
          <w:p w:rsidR="00FF78AB" w:rsidRPr="005632E2" w:rsidRDefault="00FF78AB" w:rsidP="005632E2">
            <w:pPr>
              <w:pStyle w:val="a8"/>
              <w:tabs>
                <w:tab w:val="left" w:pos="625"/>
                <w:tab w:val="left" w:pos="3360"/>
              </w:tabs>
              <w:spacing w:after="0"/>
              <w:jc w:val="both"/>
              <w:rPr>
                <w:rFonts w:ascii="PT Astra Serif" w:hAnsi="PT Astra Serif"/>
                <w:shd w:val="clear" w:color="auto" w:fill="FFFFFF"/>
              </w:rPr>
            </w:pPr>
            <w:r w:rsidRPr="005632E2">
              <w:rPr>
                <w:rFonts w:ascii="PT Astra Serif" w:hAnsi="PT Astra Serif"/>
                <w:shd w:val="clear" w:color="auto" w:fill="FFFFFF"/>
              </w:rPr>
              <w:t xml:space="preserve">Согласно ст. 14 </w:t>
            </w:r>
            <w:r w:rsidRPr="005632E2">
              <w:rPr>
                <w:rFonts w:ascii="PT Astra Serif" w:hAnsi="PT Astra Serif"/>
              </w:rPr>
              <w:t xml:space="preserve">Федерального закона от 03.07.2016 № 237-ФЗ «О государственной кадастровой оценке» </w:t>
            </w:r>
            <w:r w:rsidRPr="005632E2">
              <w:rPr>
                <w:rFonts w:ascii="PT Astra Serif" w:hAnsi="PT Astra Serif"/>
                <w:shd w:val="clear" w:color="auto" w:fill="FFFFFF"/>
              </w:rPr>
              <w:t xml:space="preserve">любое заинтересованное лицо вправе представить замечания к промежуточным отчетным документам, составленным по итогам определения кадастровой стоимости, в течение 50 дней с момента размещения на официальном сайте </w:t>
            </w:r>
            <w:proofErr w:type="spellStart"/>
            <w:r w:rsidRPr="005632E2">
              <w:rPr>
                <w:rFonts w:ascii="PT Astra Serif" w:hAnsi="PT Astra Serif"/>
                <w:shd w:val="clear" w:color="auto" w:fill="FFFFFF"/>
              </w:rPr>
              <w:t>Росреестра</w:t>
            </w:r>
            <w:proofErr w:type="spellEnd"/>
            <w:r w:rsidRPr="005632E2">
              <w:rPr>
                <w:rFonts w:ascii="PT Astra Serif" w:hAnsi="PT Astra Serif"/>
                <w:shd w:val="clear" w:color="auto" w:fill="FFFFFF"/>
              </w:rPr>
              <w:t xml:space="preserve"> в информационно-телекоммуникационной сети «Интернет» (https://rosreestr.ru/) в разделе «Фонд данных государственной кадастровой оценки» промежуточных отчетных документов. </w:t>
            </w:r>
          </w:p>
          <w:p w:rsidR="00FF78AB" w:rsidRPr="005632E2" w:rsidRDefault="00FF78AB" w:rsidP="005632E2">
            <w:pPr>
              <w:pStyle w:val="af"/>
              <w:suppressAutoHyphens/>
              <w:spacing w:after="0"/>
              <w:jc w:val="both"/>
              <w:rPr>
                <w:rFonts w:ascii="PT Astra Serif" w:hAnsi="PT Astra Serif"/>
              </w:rPr>
            </w:pPr>
            <w:r w:rsidRPr="005632E2">
              <w:rPr>
                <w:rFonts w:ascii="PT Astra Serif" w:hAnsi="PT Astra Serif"/>
              </w:rPr>
              <w:t xml:space="preserve">Дополнительную информацию по вопросам проведения государственной кадастровой оценки можно получить по телефону горячей линии </w:t>
            </w:r>
            <w:r w:rsidRPr="005632E2">
              <w:rPr>
                <w:rFonts w:ascii="PT Astra Serif" w:hAnsi="PT Astra Serif"/>
                <w:color w:val="000000"/>
                <w:shd w:val="clear" w:color="auto" w:fill="FFFFFF"/>
              </w:rPr>
              <w:t xml:space="preserve">ГУ ТО «Областное БТИ»: </w:t>
            </w:r>
            <w:r w:rsidRPr="005632E2">
              <w:rPr>
                <w:rFonts w:ascii="PT Astra Serif" w:hAnsi="PT Astra Serif"/>
              </w:rPr>
              <w:t xml:space="preserve">24-51-04, доб. 76-76. </w:t>
            </w:r>
          </w:p>
        </w:tc>
      </w:tr>
      <w:tr w:rsidR="0037424B" w:rsidRPr="005632E2" w:rsidTr="00535F87">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5632E2" w:rsidRDefault="0037424B" w:rsidP="005632E2">
            <w:pPr>
              <w:spacing w:after="0" w:line="240" w:lineRule="auto"/>
              <w:ind w:firstLine="459"/>
              <w:jc w:val="center"/>
              <w:rPr>
                <w:rFonts w:ascii="PT Astra Serif" w:eastAsia="Times New Roman" w:hAnsi="PT Astra Serif"/>
                <w:sz w:val="24"/>
                <w:szCs w:val="24"/>
                <w:lang w:eastAsia="ru-RU"/>
              </w:rPr>
            </w:pPr>
            <w:r w:rsidRPr="005632E2">
              <w:rPr>
                <w:rFonts w:ascii="PT Astra Serif" w:hAnsi="PT Astra Serif"/>
                <w:b/>
                <w:i/>
                <w:szCs w:val="28"/>
              </w:rPr>
              <w:t>Средства массовой информации / переход на цифровое вещание</w:t>
            </w:r>
          </w:p>
        </w:tc>
      </w:tr>
      <w:tr w:rsidR="00E121A7" w:rsidRPr="005632E2"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 xml:space="preserve">По каким телефонам горячих линий» я могу обратиться за консультацией по </w:t>
            </w:r>
            <w:r w:rsidRPr="005632E2">
              <w:rPr>
                <w:rFonts w:ascii="PT Astra Serif" w:hAnsi="PT Astra Serif"/>
                <w:sz w:val="24"/>
                <w:szCs w:val="24"/>
              </w:rPr>
              <w:lastRenderedPageBreak/>
              <w:t>вопросу перехода на цифровое эфирное телевещание (ЦЭТВ)?</w:t>
            </w:r>
          </w:p>
          <w:p w:rsidR="00E121A7" w:rsidRPr="005632E2" w:rsidRDefault="00E121A7" w:rsidP="005632E2">
            <w:pPr>
              <w:spacing w:after="0" w:line="240" w:lineRule="auto"/>
              <w:jc w:val="both"/>
              <w:rPr>
                <w:rFonts w:ascii="PT Astra Serif" w:hAnsi="PT Astra Serif"/>
                <w:sz w:val="24"/>
                <w:szCs w:val="24"/>
              </w:rPr>
            </w:pPr>
          </w:p>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По общим вопросам:</w:t>
            </w:r>
          </w:p>
          <w:p w:rsidR="00E121A7" w:rsidRPr="005632E2" w:rsidRDefault="00E121A7" w:rsidP="005632E2">
            <w:pPr>
              <w:spacing w:after="0" w:line="240" w:lineRule="auto"/>
              <w:jc w:val="both"/>
              <w:rPr>
                <w:rFonts w:ascii="PT Astra Serif" w:hAnsi="PT Astra Serif"/>
                <w:b/>
                <w:sz w:val="24"/>
                <w:szCs w:val="24"/>
              </w:rPr>
            </w:pPr>
            <w:r w:rsidRPr="005632E2">
              <w:rPr>
                <w:rFonts w:ascii="PT Astra Serif" w:hAnsi="PT Astra Serif"/>
                <w:b/>
                <w:sz w:val="24"/>
                <w:szCs w:val="24"/>
              </w:rPr>
              <w:t>8-800-220-20-02</w:t>
            </w:r>
          </w:p>
          <w:p w:rsidR="00E121A7" w:rsidRPr="005632E2" w:rsidRDefault="00E121A7" w:rsidP="005632E2">
            <w:pPr>
              <w:spacing w:after="0" w:line="240" w:lineRule="auto"/>
              <w:jc w:val="both"/>
              <w:rPr>
                <w:rFonts w:ascii="PT Astra Serif" w:hAnsi="PT Astra Serif"/>
                <w:b/>
                <w:sz w:val="24"/>
                <w:szCs w:val="24"/>
              </w:rPr>
            </w:pPr>
            <w:r w:rsidRPr="005632E2">
              <w:rPr>
                <w:rFonts w:ascii="PT Astra Serif" w:hAnsi="PT Astra Serif"/>
                <w:b/>
                <w:sz w:val="24"/>
                <w:szCs w:val="24"/>
              </w:rPr>
              <w:t>8 (4872)66-87-87 (доб. 111)</w:t>
            </w:r>
          </w:p>
          <w:p w:rsidR="00E121A7" w:rsidRPr="005632E2" w:rsidRDefault="00E121A7" w:rsidP="005632E2">
            <w:pPr>
              <w:spacing w:after="0" w:line="240" w:lineRule="auto"/>
              <w:jc w:val="both"/>
              <w:rPr>
                <w:rFonts w:ascii="PT Astra Serif" w:hAnsi="PT Astra Serif"/>
                <w:b/>
                <w:sz w:val="24"/>
                <w:szCs w:val="24"/>
              </w:rPr>
            </w:pPr>
          </w:p>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По мерам соц. поддержки:</w:t>
            </w:r>
          </w:p>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b/>
                <w:sz w:val="24"/>
                <w:szCs w:val="24"/>
              </w:rPr>
              <w:t>8-800-222-27-21</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lastRenderedPageBreak/>
              <w:t xml:space="preserve">За консультацией по всем возникающим вопросам, связанным с ЦЭТВ, жители региона могут обратиться на «горячие линии» предприятия «Российская телевизионная радиовещательная сеть» (8-800-220-20-02) и тульского филиала ФГУП РТРС (8 (4872)66-87-87 (доб. 111)),  а также </w:t>
            </w:r>
            <w:r w:rsidRPr="005632E2">
              <w:rPr>
                <w:rFonts w:ascii="PT Astra Serif" w:hAnsi="PT Astra Serif"/>
                <w:sz w:val="24"/>
                <w:szCs w:val="24"/>
              </w:rPr>
              <w:lastRenderedPageBreak/>
              <w:t xml:space="preserve">на телефон «горячей линии» Правительства Тульской области (8-800-222-27-21) для консультации по мерам поддержки, которые Правительство региона окажет малоимущим жителям области и гражданам, проживающим в зонах неуверенного приема ЦЭТВ, для приобретения цифрового оборудования.       </w:t>
            </w:r>
          </w:p>
        </w:tc>
      </w:tr>
      <w:tr w:rsidR="00E121A7" w:rsidRPr="005632E2"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Что нужно сделать для того чтобы смотреть ЦЭТВ?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Для приема ЦЭТВ жителям, находящимся в зоне охвата цифрового сигнала, телевизионные приемники которых не имеют встроенного модуля для приема цифрового сигнала (телевизоры, произведенные до 2012 года), необходимо приобрести телевизионную приставку формата DVB-T2 и антенну, работающую в дециметровом диапазоне.</w:t>
            </w:r>
          </w:p>
        </w:tc>
      </w:tr>
      <w:tr w:rsidR="00E121A7" w:rsidRPr="005632E2"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Где и какие приставку и антенну лучше купить, сколько они стоят?</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21A7" w:rsidRPr="005632E2" w:rsidRDefault="00E121A7" w:rsidP="005632E2">
            <w:pPr>
              <w:spacing w:after="0" w:line="240" w:lineRule="auto"/>
              <w:jc w:val="both"/>
              <w:rPr>
                <w:rFonts w:ascii="PT Astra Serif" w:hAnsi="PT Astra Serif"/>
                <w:sz w:val="24"/>
                <w:szCs w:val="24"/>
              </w:rPr>
            </w:pPr>
            <w:r w:rsidRPr="005632E2">
              <w:rPr>
                <w:rFonts w:ascii="PT Astra Serif" w:hAnsi="PT Astra Serif"/>
                <w:sz w:val="24"/>
                <w:szCs w:val="24"/>
              </w:rPr>
              <w:t xml:space="preserve">Приставки и антенны продаются в большинстве магазинов бытовой техники. </w:t>
            </w:r>
            <w:proofErr w:type="gramStart"/>
            <w:r w:rsidRPr="005632E2">
              <w:rPr>
                <w:rFonts w:ascii="PT Astra Serif" w:hAnsi="PT Astra Serif"/>
                <w:sz w:val="24"/>
                <w:szCs w:val="24"/>
              </w:rPr>
              <w:t>Главное</w:t>
            </w:r>
            <w:proofErr w:type="gramEnd"/>
            <w:r w:rsidRPr="005632E2">
              <w:rPr>
                <w:rFonts w:ascii="PT Astra Serif" w:hAnsi="PT Astra Serif"/>
                <w:sz w:val="24"/>
                <w:szCs w:val="24"/>
              </w:rPr>
              <w:t xml:space="preserve"> чтобы приставка была формата DVB-T2. Средняя стоимость приставки 1,5 тыс. рублей, антенны – 1 тыс.</w:t>
            </w:r>
          </w:p>
        </w:tc>
      </w:tr>
      <w:tr w:rsidR="00955ECB" w:rsidRPr="005632E2" w:rsidTr="008B30E8">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5632E2" w:rsidRDefault="00FD30FC" w:rsidP="005632E2">
            <w:pPr>
              <w:spacing w:after="0" w:line="240" w:lineRule="auto"/>
              <w:ind w:firstLine="459"/>
              <w:jc w:val="center"/>
              <w:rPr>
                <w:rFonts w:ascii="PT Astra Serif" w:hAnsi="PT Astra Serif"/>
                <w:sz w:val="24"/>
              </w:rPr>
            </w:pPr>
            <w:r w:rsidRPr="005632E2">
              <w:rPr>
                <w:rFonts w:ascii="PT Astra Serif" w:hAnsi="PT Astra Serif"/>
                <w:b/>
                <w:i/>
                <w:szCs w:val="28"/>
              </w:rPr>
              <w:t xml:space="preserve">Финансы и кредиты </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rPr>
                <w:rFonts w:ascii="PT Astra Serif" w:hAnsi="PT Astra Serif"/>
                <w:sz w:val="24"/>
                <w:szCs w:val="24"/>
              </w:rPr>
            </w:pPr>
            <w:r w:rsidRPr="005632E2">
              <w:rPr>
                <w:rFonts w:ascii="PT Astra Serif" w:hAnsi="PT Astra Serif"/>
                <w:sz w:val="24"/>
                <w:szCs w:val="24"/>
              </w:rPr>
              <w:t>Получение кредита</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Действующим законодательством Российской Федерации предоставление бюджетных средств для выдачи потребительских кредитов населению не предусмотрено.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Кредитование юридических и физических лиц в Российской Федерации осуществляется коммерческими банками и кредитными организациями.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Решение о выдаче кредита конкретному физическому лицу на конкретные цели принимается кредитной организацией при условии положительной оценки платежеспособности и кредитоспособности заемщика. Порядок оценки указанных критериев определяется организацией-кредитодателем.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Согласно </w:t>
            </w:r>
            <w:proofErr w:type="gramStart"/>
            <w:r w:rsidRPr="005632E2">
              <w:rPr>
                <w:rFonts w:ascii="PT Astra Serif" w:hAnsi="PT Astra Serif"/>
                <w:sz w:val="24"/>
                <w:szCs w:val="24"/>
              </w:rPr>
              <w:t>нормам Гражданского Кодекса РФ</w:t>
            </w:r>
            <w:proofErr w:type="gramEnd"/>
            <w:r w:rsidRPr="005632E2">
              <w:rPr>
                <w:rFonts w:ascii="PT Astra Serif" w:hAnsi="PT Astra Serif"/>
                <w:sz w:val="24"/>
                <w:szCs w:val="24"/>
              </w:rPr>
              <w:t xml:space="preserve"> вопросы получения заемных средств физическими лицами в коммерческих банках относятся к договорным отношениям и решаются взаимодействующими сторонами без участия органов государственной власти.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В настоящее время на территории Тульской области действуют более 160 структурных подразделений банков, в числе которых: Сбербанк, ВТБ, Газпромбанк, Райффайзенбанк, Банк </w:t>
            </w:r>
            <w:proofErr w:type="spellStart"/>
            <w:r w:rsidRPr="005632E2">
              <w:rPr>
                <w:rFonts w:ascii="PT Astra Serif" w:hAnsi="PT Astra Serif"/>
                <w:sz w:val="24"/>
                <w:szCs w:val="24"/>
              </w:rPr>
              <w:t>Уралсиб</w:t>
            </w:r>
            <w:proofErr w:type="spellEnd"/>
            <w:r w:rsidRPr="005632E2">
              <w:rPr>
                <w:rFonts w:ascii="PT Astra Serif" w:hAnsi="PT Astra Serif"/>
                <w:sz w:val="24"/>
                <w:szCs w:val="24"/>
              </w:rPr>
              <w:t>, ФК Открытие и другие. Многие банки имеют опыт принятия социально - ответственных решений.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В целях получения информации об условиях выдачи и возможности получения кредита, гражданам необходимо лично обратиться в коммерческие банки. Список кредитных организаций (филиалов), действующих на территории Тульской области, и их внутренних структурных подразделений (с указанием адресов расположения и контактных телефонов) </w:t>
            </w:r>
            <w:r w:rsidRPr="005632E2">
              <w:rPr>
                <w:rFonts w:ascii="PT Astra Serif" w:hAnsi="PT Astra Serif"/>
                <w:sz w:val="24"/>
                <w:szCs w:val="24"/>
              </w:rPr>
              <w:lastRenderedPageBreak/>
              <w:t>размещены на официальном портале правительства Тульской области в разделе http://econom.tularegion.ru/documents.</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Начисление банками скрытых процентов, в том числе дополнительных комиссий</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Согласно нормам Гражданского Кодекса РФ банки и небанковские кредитные организации предоставляют услуги кредитования в соответствии с требованиями федерального законодательства.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Действующим законодательством полномочия органов исполнительной власти Тульской области по контролю и регулированию деятельности банков и небанковских кредитных организаций не предусмотрены.</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Постановлением Президиума Верховного Арбитражного суда Российской Федерации № 8274/09 от 17.11.2009 взимание комиссий за открытие и ведение ссудных счетов при выдаче кредитов было признано незаконным. Финансовые организации обязаны были исключить все скрытые платежи из договоров, а также указывать в рекламе реальную процентную ставку.</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Организациями, уполномоченными на осуществление контроля деятельности банков и небанковских кредитных организаций на финансовом рынке, в том числе Министерством финансов Российской Федерации, Службой Банка России по защите прав потребителей финансовых услуг и миноритарных акционеров, Федеральной антимонопольной службой ежеквартально проводится сбор и анализ состояния финансового рынка, мониторинг ставок по кредитам. Как показывает практика, некоторые финансовые организации в целях увеличения прибыли включают дополнительные платежи в договоры кредитования или устанавливают их за пределами данных документов.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соответствии со статьей 16 Федерального закона Российской Федерации от 07.02.1992 № 2300-1 «О защите прав потребителей» условия кредитного договора, ущемляющие права потребителя, признаются недействительными. Все убытки, которые заемщики понесли в рамках получения услуг кредитования из-за незаконных комиссий и скрытых процентов, подлежат возмещению в полном объеме. Помимо убытков потребитель имеет право на проценты за пользование чужими денежными средствами на сумму незаконно удержанных платежей, юридических услуг и всех понесенных в связи с этим расходов.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Возврат банковских комиссий возможен, если с момента заключения договора прошло не более трех лет. В ряде случаев возможно взыскание комиссий и по истечении трехлетнего срока с момента заключения договора.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Условия взаимодействия коммерческих банков и населения по предоставлению услуг кредитования, а также разрешению конфликтных ситуаций, возникающих в рамках указанной сферы деятельности, согласно </w:t>
            </w:r>
            <w:proofErr w:type="gramStart"/>
            <w:r w:rsidRPr="005632E2">
              <w:rPr>
                <w:rFonts w:ascii="PT Astra Serif" w:hAnsi="PT Astra Serif"/>
                <w:sz w:val="24"/>
                <w:szCs w:val="24"/>
              </w:rPr>
              <w:t>нормам Гражданского Кодекса Российской Федерации</w:t>
            </w:r>
            <w:proofErr w:type="gramEnd"/>
            <w:r w:rsidRPr="005632E2">
              <w:rPr>
                <w:rFonts w:ascii="PT Astra Serif" w:hAnsi="PT Astra Serif"/>
                <w:sz w:val="24"/>
                <w:szCs w:val="24"/>
              </w:rPr>
              <w:t xml:space="preserve"> относятся к договорным отношениям. В случае отсутствия возможности урегулирования сторонами разногласий по исполнению договорных обязательств, решение выносится судебными органами.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На основании фактов недобросовестных действий банков и небанковских организаций по предоставлению услуг кредитования с начислением незаконных комиссий и скрытых процентов, повлекшим нанесение финансового ущерба, заемщику необходимо обратиться суд с иском о признании указанных организаций виновными в совершении мошеннических действий – хищении чужого имущества путем обмана и злоупотребления доверием, и возмещении нанесенного ущерба.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В соответствии с Федеральным закон Российской Федерации от 21.12.2013 № 353-ФЗ «О потребительском кредите (займе)» отношения, возникающие в связи с предоставлением кредитными и </w:t>
            </w:r>
            <w:proofErr w:type="spellStart"/>
            <w:r w:rsidRPr="005632E2">
              <w:rPr>
                <w:rFonts w:ascii="PT Astra Serif" w:hAnsi="PT Astra Serif"/>
                <w:sz w:val="24"/>
                <w:szCs w:val="24"/>
              </w:rPr>
              <w:t>микрофинансовыми</w:t>
            </w:r>
            <w:proofErr w:type="spellEnd"/>
            <w:r w:rsidRPr="005632E2">
              <w:rPr>
                <w:rFonts w:ascii="PT Astra Serif" w:hAnsi="PT Astra Serif"/>
                <w:sz w:val="24"/>
                <w:szCs w:val="24"/>
              </w:rPr>
              <w:t xml:space="preserve"> организациями кредитов (займов) физическим лицам в целях, не связанных с осуществлением предпринимательской деятельности. Также данный закон не распространяется на потребительские кредиты, обязательства по которым обеспечены ипотекой.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Закон существенно ограничивает банки и </w:t>
            </w:r>
            <w:proofErr w:type="spellStart"/>
            <w:r w:rsidRPr="005632E2">
              <w:rPr>
                <w:rFonts w:ascii="PT Astra Serif" w:hAnsi="PT Astra Serif"/>
                <w:sz w:val="24"/>
                <w:szCs w:val="24"/>
              </w:rPr>
              <w:t>микрофинансовые</w:t>
            </w:r>
            <w:proofErr w:type="spellEnd"/>
            <w:r w:rsidRPr="005632E2">
              <w:rPr>
                <w:rFonts w:ascii="PT Astra Serif" w:hAnsi="PT Astra Serif"/>
                <w:sz w:val="24"/>
                <w:szCs w:val="24"/>
              </w:rPr>
              <w:t xml:space="preserve"> организации в применении непрозрачных и малопонятных схем кредитования.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Ключевыми моментами Закона «О потребительском кредите» являются: ограничение величины процентной ставки, определение понятия «полная стоимость кредита» и расширение возможностей досрочного погашения.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Полная стоимость кредита (ПСК) — это затраты заемщика на получение и обслуживание кредита, выраженные в годовой процентной ставке и включающие в себя непосредственно проценты за пользование кредитом, а также различные комиссии и другие издержки в соответствии с кредитным договором и тарифами банка.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ПСК высчитывается по специальной формуле в расчете на год и не может более чем на треть превышать среднерыночное значение, которое ежеквартально рассчитывается ЦБ РФ на основании данных топ-100 российских банков. Эта мера направлена на стандартизацию процесса формирования процентных ставок на рынке. Для корректного определения ПСК законом введено разделение на категории кредитов в зависимости от их назначения.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Кроме того, согласно </w:t>
            </w:r>
            <w:proofErr w:type="gramStart"/>
            <w:r w:rsidRPr="005632E2">
              <w:rPr>
                <w:rFonts w:ascii="PT Astra Serif" w:hAnsi="PT Astra Serif"/>
                <w:sz w:val="24"/>
                <w:szCs w:val="24"/>
              </w:rPr>
              <w:t>закону</w:t>
            </w:r>
            <w:proofErr w:type="gramEnd"/>
            <w:r w:rsidRPr="005632E2">
              <w:rPr>
                <w:rFonts w:ascii="PT Astra Serif" w:hAnsi="PT Astra Serif"/>
                <w:sz w:val="24"/>
                <w:szCs w:val="24"/>
              </w:rPr>
              <w:t xml:space="preserve"> из договоров должны быть исключены напечатанные мелким шрифтом или вообще не прописанные в соглашении индивидуальные условия. Одновременно законом устанавливаются стандартные формы договоров для всех банков, в которых одинаково прописаны все условия кредитования. В правом верхнем углу первой страницы договора в квадратной рамке должен размещаться показатель полной стоимости кредита (ПСК).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С 01.07.2019 вступили в силу изменения в статью 5 Федеральный закон Российской Федерации «О потребительском кредите (займе)» на основании которых с 01.01.2020 срок возврата потребительского кредита (займа) по которому на момент его заключения не превышает одного года, процентная ставка по договору потребительского кредита (займа) не может превышать 1 процента в день.</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Также закон закрепляет право заемщика досрочно и без уведомления кредитора в течение 14 календарных дней после получения кредита (займа) вернуть денежные средства, выплатив только проценты за фактическое использование кредита. По целевым кредитам на возврат денег дается 30 дней.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Кроме того, из положений закона следует, что банки не имеют право навязывать свои страховые программы. Так, кредитор обязан предоставить заемщику потребительский кредит на тех же условиях, если заемщик самостоятельно застраховал свою жизнь, здоровье или потерю работы, а не у аккредитованного кредитором страховщика. Заемщик имеет право страховать риски и не пользоваться страховыми продуктами банков, которые навязываются за счет дискриминирующих условий кредитования.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Закон запрещает кредиторам звонить, отправлять </w:t>
            </w:r>
            <w:proofErr w:type="spellStart"/>
            <w:r w:rsidRPr="005632E2">
              <w:rPr>
                <w:rFonts w:ascii="PT Astra Serif" w:hAnsi="PT Astra Serif"/>
                <w:sz w:val="24"/>
                <w:szCs w:val="24"/>
              </w:rPr>
              <w:t>sms</w:t>
            </w:r>
            <w:proofErr w:type="spellEnd"/>
            <w:r w:rsidRPr="005632E2">
              <w:rPr>
                <w:rFonts w:ascii="PT Astra Serif" w:hAnsi="PT Astra Serif"/>
                <w:sz w:val="24"/>
                <w:szCs w:val="24"/>
              </w:rPr>
              <w:t xml:space="preserve"> должнику с 22.00 до 8.00 утра в рабочие дни и с 20.00 до 9.00 утра в выходные. Коллекторы обязаны представляться и давать адреса для связи. За нарушение этих правил им грозит штраф от 5 тыс. до 10 тыс. рублей.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С полным текстом Закона можно ознакомиться на информационных сайтах в сети Интернет, официально текст Закона был опубликован 23.12.2013.</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rPr>
                <w:rFonts w:ascii="PT Astra Serif" w:hAnsi="PT Astra Serif"/>
                <w:sz w:val="24"/>
                <w:szCs w:val="24"/>
              </w:rPr>
            </w:pPr>
            <w:r w:rsidRPr="005632E2">
              <w:rPr>
                <w:rFonts w:ascii="PT Astra Serif" w:hAnsi="PT Astra Serif"/>
                <w:sz w:val="24"/>
                <w:szCs w:val="24"/>
              </w:rPr>
              <w:t>Перечисление денежных средств заработной платы на банковские карты</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Расчеты по начисленным суммам оплаты труда и прочим выплатам могут осуществляться предприятием-работодателем посредством выдачи наличных денег через кассу предприятия либо – перечислением денежных средств на личные банковские счета сотрудников.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соответствии с нормативами, установленными Центральным банком Российской Федерации, обслуживание счетов населения осуществляется коммерческими банками России на условиях, изложенных в условиях заключаемых договоров об открытии счета. По желанию граждан в соответствии с заключенными договорами на их имя банками оформляются банковские карты.</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Организация выплаты заработной платы сотрудникам посредством перечисления денежных средств на банковские карты осуществляется предприятием-работодателем по личному заявлению сотрудников в добровольном порядке, если иное не устанавливается заключенным трудовым договором (положением об оплате труда работников учреждения, коллективным договором или другими документами, определяющими условия осуществления указанных выплат работникам).</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Перечисление заработной платы на зарплатные банковские карты осуществляется бухгалтерией предприятия или организации в соответствии с персональными заявлениями сотрудников, о подаче которого решение принимается в добровольном порядке.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В случае если сотрудник не желает получать зарплату </w:t>
            </w:r>
            <w:proofErr w:type="gramStart"/>
            <w:r w:rsidRPr="005632E2">
              <w:rPr>
                <w:rFonts w:ascii="PT Astra Serif" w:hAnsi="PT Astra Serif"/>
                <w:sz w:val="24"/>
                <w:szCs w:val="24"/>
              </w:rPr>
              <w:t>на банковскую карту</w:t>
            </w:r>
            <w:proofErr w:type="gramEnd"/>
            <w:r w:rsidRPr="005632E2">
              <w:rPr>
                <w:rFonts w:ascii="PT Astra Serif" w:hAnsi="PT Astra Serif"/>
                <w:sz w:val="24"/>
                <w:szCs w:val="24"/>
              </w:rPr>
              <w:t xml:space="preserve"> и данная норма не устанавливается заключенным трудовым договором (положением об оплате труда работников учреждения, коллективным договором или другими документами, определяющими условия осуществления указанных выплат работникам), он имеет право не подавать соответствующее заявление.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Неправомерные действия руководства предприятия, произведенные без достаточных на то оснований и с нарушениями трудового законодательства, сотрудники имеют право обжаловать в судебном порядке</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Реструктуризация задолженности по выплате кредитов, полученных в коммерческих банках, в том числе, ипотечных кредитов</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При возникновении конфликтной ситуации, связанной с отказом банка в реструктуризации ранее полученных заемщиком кредитных обязательств, в соответствии со статьей 21 Федерального закона от 02.12.1990 № 395-1 «О банках и банковской деятельности» споры между кредитной организацией и ее клиентами (физическими и юридическими лицами) разрешаются в порядке, установленном федеральным законодательством.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Договорные отношения, в том числе правоотношения между клиентами и банками, основаны на юридическом равенстве участников (сторон) договора и все вытекающие из них споры, связанные с исполнением одной </w:t>
            </w:r>
            <w:proofErr w:type="gramStart"/>
            <w:r w:rsidRPr="005632E2">
              <w:rPr>
                <w:rFonts w:ascii="PT Astra Serif" w:hAnsi="PT Astra Serif"/>
                <w:sz w:val="24"/>
                <w:szCs w:val="24"/>
              </w:rPr>
              <w:t>из сторон</w:t>
            </w:r>
            <w:proofErr w:type="gramEnd"/>
            <w:r w:rsidRPr="005632E2">
              <w:rPr>
                <w:rFonts w:ascii="PT Astra Serif" w:hAnsi="PT Astra Serif"/>
                <w:sz w:val="24"/>
                <w:szCs w:val="24"/>
              </w:rPr>
              <w:t xml:space="preserve"> принятых на себя обязательств, носят гражданско-правовой характер и, согласно ст. 11 Гражданского кодекса Российской Федерации, подлежат разрешению в судебном порядке.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Таким образом, при получении отказа банка в реструктуризации ранее полученных кредитных обязательств, граждане имеют право обжаловать условия договора кредитования в судебном порядке. По итогам рассмотрения обстоятельств дела судебные органы вправе принять решение о реструктуризации сложившейся задолженности.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Рассрочка и отсрочка выплаты кредитной задолженности граждан может быть осуществлена в судебном порядке в рамках действия вступившего в силу с 01.10.2015 Федерального закона Российской Федерации от 29.12.2014 №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rPr>
                <w:rFonts w:ascii="PT Astra Serif" w:hAnsi="PT Astra Serif"/>
                <w:sz w:val="24"/>
                <w:szCs w:val="24"/>
              </w:rPr>
            </w:pPr>
            <w:r w:rsidRPr="005632E2">
              <w:rPr>
                <w:rFonts w:ascii="PT Astra Serif" w:hAnsi="PT Astra Serif"/>
                <w:sz w:val="24"/>
                <w:szCs w:val="24"/>
              </w:rPr>
              <w:t>О банкротстве физических лиц</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соответствии с Федеральным законом Российской Федерации от 29.12.2014 №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Основной целью указанного нормативно-правового акта является предоставление возможности заемщику, попавшему в затруднительное финансовое положение, погасить свою задолженность по выплате кредитов.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Законом о банкротстве граждан установлено, что банкротом признается гражданин, имеющий просроченную более чем на три месяца задолженность не менее чем в 500 000 рублей. Кроме того, заявление в суд может быть подано и при меньшей сумме долга. Однако дело по нему будет открыто в случае, если сумма долга достигнет установленного в законе предела либо долг по сумме окажется больше стоимости имущества, принадлежащего гражданину.</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 xml:space="preserve">Заявление на признание физического лица банкротом может предоставить как сам гражданин, так и его кредиторы.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Заявление подается в суд общей юрисдикции по месту регистрации должника. Затем в течение шести месяцев должник, кредиторы и обязательно финансовый (арбитражный) управляющий должны составить и согласовать план реструктуризации долгов гражданина при наличии у него постоянного источника дохода.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План может предусматривать рассрочку и отсрочку выплаты долгов. Срок реализации плана - не более трех лет. Если принимается план реструктуризации, то начисление процентов по кредитам прекращается, что является возможностью для должника в течение трех лет погасить долг (без процентов), не продавая имущество, включая залоги.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Если план реструктуризации долгов гражданина не согласован всеми сторонами или у гражданина отсутствует постоянный источник дохода, то суд признает гражданина банкротом и принимает решение о реализации его имущества. Ею занимается финансовый управляющий, который затем распределяет полученные средства между кредиторами пропорционально их требованиям.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При этом взыскание нельзя обратить на предметы обихода и жизнеобеспечения, за исключением предметов роскоши и драгоценностей, на предметы для профессиональной деятельности (для заработка) должника, но не дороже 100 МРОТ, на деньги в пределах установленного прожиточного минимума для должника и его иждивенцев, а также на призы и государственные награды должника (например, наградной пистолет), а также на единственное жилье должника, которое не заложено по данному долгу.</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Имущество в совместной собственности супругов при банкротстве делится по общим правилам: из него выделяется доля супруга-должника и на нее обращается взыскание. Имущество бывшего супруга, детей, родителей и родственников не затрагивается.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Участие финансового управляющего при личном банкротстве обязательно. Его услуги оплачиваются за счет имущества должника или кредитором в размере двух процентов суммы удовлетворенных требований кредиторов в случае исполнения гражданином утвержденного судом, арбитражным судом плана реструктуризации его долгов либо двух процентов размера выручки от реализации имущества гражданина и денежных средств, поступивших в результате взыскания дебиторской задолженности, а также в результате применения последствий недействительности сделок в случае введения процедуры реализации имущества гражданина (данные проценты уплачиваются финансовому управляющему после завершения расчетов с кредиторами).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Если часть претензий должников оказалась не удовлетворена в силу недостаточности имущества, оставшиеся требования автоматически признаются погашенными, а должник - освобожденным от долгов.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После того, как должник рассчитается с кредиторами за счет своего имущества, и суд признает все претензии удовлетворенными, дело о банкротстве признается закрытым.</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Необходимо отметить, что прибегать к банкротству гражданам Российской Федерации следует только в самых крайних случаях. Тогда, когда исправить свою жизненную ситуацию в сравнительно короткий срок невозможно: при потере работы из-за физических увечий или при </w:t>
            </w:r>
            <w:proofErr w:type="spellStart"/>
            <w:r w:rsidRPr="005632E2">
              <w:rPr>
                <w:rFonts w:ascii="PT Astra Serif" w:hAnsi="PT Astra Serif"/>
                <w:sz w:val="24"/>
                <w:szCs w:val="24"/>
              </w:rPr>
              <w:t>понесении</w:t>
            </w:r>
            <w:proofErr w:type="spellEnd"/>
            <w:r w:rsidRPr="005632E2">
              <w:rPr>
                <w:rFonts w:ascii="PT Astra Serif" w:hAnsi="PT Astra Serif"/>
                <w:sz w:val="24"/>
                <w:szCs w:val="24"/>
              </w:rPr>
              <w:t xml:space="preserve"> ущерба при чрезвычайных ситуациях (например, сгорел дом при пожаре или квартиру уже отсудили, или развод с агрессивным разделом имущества, - то есть, при утрате регулярного дохода или при получении дополнительных значительных расходов). Банкротство подразумевает ущемление целого ряда прав: начиная от лишения права на предпринимательство, заканчивая временным ограничением права на выезд из страны. Кроме того, банкротство отражается в кредитной истории: в течение пяти лет невозможно будет обратиться за займом, и по истечении этого срока получение кредита будет вызывать большие трудности.</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rPr>
                <w:rFonts w:ascii="PT Astra Serif" w:hAnsi="PT Astra Serif"/>
                <w:sz w:val="24"/>
                <w:szCs w:val="24"/>
              </w:rPr>
            </w:pPr>
            <w:r w:rsidRPr="005632E2">
              <w:rPr>
                <w:rFonts w:ascii="PT Astra Serif" w:hAnsi="PT Astra Serif"/>
                <w:sz w:val="24"/>
                <w:szCs w:val="24"/>
              </w:rPr>
              <w:t>Предоставление кредитных каникул</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Согласно Федеральному закону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физические лица, а также индивидуальные предприниматели, оформившие потребительский кредит или ипотеку в банке, а также заем в </w:t>
            </w:r>
            <w:proofErr w:type="spellStart"/>
            <w:r w:rsidRPr="005632E2">
              <w:rPr>
                <w:rFonts w:ascii="PT Astra Serif" w:hAnsi="PT Astra Serif"/>
                <w:sz w:val="24"/>
                <w:szCs w:val="24"/>
              </w:rPr>
              <w:t>микрофинансовой</w:t>
            </w:r>
            <w:proofErr w:type="spellEnd"/>
            <w:r w:rsidRPr="005632E2">
              <w:rPr>
                <w:rFonts w:ascii="PT Astra Serif" w:hAnsi="PT Astra Serif"/>
                <w:sz w:val="24"/>
                <w:szCs w:val="24"/>
              </w:rPr>
              <w:t xml:space="preserve"> организации (МФО) и потерявшие возможность обслуживать долг из-за пандемии </w:t>
            </w:r>
            <w:proofErr w:type="spellStart"/>
            <w:r w:rsidRPr="005632E2">
              <w:rPr>
                <w:rFonts w:ascii="PT Astra Serif" w:hAnsi="PT Astra Serif"/>
                <w:sz w:val="24"/>
                <w:szCs w:val="24"/>
              </w:rPr>
              <w:t>коронавируса</w:t>
            </w:r>
            <w:proofErr w:type="spellEnd"/>
            <w:r w:rsidRPr="005632E2">
              <w:rPr>
                <w:rFonts w:ascii="PT Astra Serif" w:hAnsi="PT Astra Serif"/>
                <w:sz w:val="24"/>
                <w:szCs w:val="24"/>
              </w:rPr>
              <w:t>, официально получили право на кредитные каникулы – отсрочку платежей на срок до шести месяцев.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Заемщики получают право на кредитные каникулы (льготный период) при одновременном выполнении нескольких условий: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 доход заемщика (или совокупный доход </w:t>
            </w:r>
            <w:proofErr w:type="spellStart"/>
            <w:r w:rsidRPr="005632E2">
              <w:rPr>
                <w:rFonts w:ascii="PT Astra Serif" w:hAnsi="PT Astra Serif"/>
                <w:sz w:val="24"/>
                <w:szCs w:val="24"/>
              </w:rPr>
              <w:t>созаемщиков</w:t>
            </w:r>
            <w:proofErr w:type="spellEnd"/>
            <w:r w:rsidRPr="005632E2">
              <w:rPr>
                <w:rFonts w:ascii="PT Astra Serif" w:hAnsi="PT Astra Serif"/>
                <w:sz w:val="24"/>
                <w:szCs w:val="24"/>
              </w:rPr>
              <w:t>) снизился минимум на 30% за месяц, предшествующий подаче заявки на каникулы, по сравнению со среднемесячным доходом за 2019 год (по информации Центрального Банка РФ в ближайшее время правительство определит методику расчета среднемесячного дохода за прошлый год и обяжет банки разработать онлайн-сервисы по оценке правильности такого расчета заемщиками);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максимальный размер кредита, по которому заемщик вправе обратиться к кредитору с требованием об изменении условий кредитного договора, предусматривающим приостановление исполнения заемщиком своих обязательств, в соответствии с постановлением Правительства РФ от 03.04.2020 № 435 составляет:</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для потребительских кредитов (займов), заемщиками по которым являются физические лица, - 250 тысяч рублей;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для потребительских кредитов (займов), заемщиками по которым являются индивидуальные предприниматели, - 300 тысяч рублей;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для потребительских кредитов (займов), предусматривающих предоставление потребительского кредита (займа) с лимитом кредитования, заемщиками по которым являются физические лица, - 100 тысяч рублей;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для потребительских кредитов на цели приобретения автотранспортных средств с залогом автотранспортного средства - 600 тысяч рублей;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для кредита, выданного в целях, не связанных с осуществлением предпринимательской деятельности, и </w:t>
            </w:r>
            <w:proofErr w:type="gramStart"/>
            <w:r w:rsidRPr="005632E2">
              <w:rPr>
                <w:rFonts w:ascii="PT Astra Serif" w:hAnsi="PT Astra Serif"/>
                <w:sz w:val="24"/>
                <w:szCs w:val="24"/>
              </w:rPr>
              <w:t>обязательства</w:t>
            </w:r>
            <w:proofErr w:type="gramEnd"/>
            <w:r w:rsidRPr="005632E2">
              <w:rPr>
                <w:rFonts w:ascii="PT Astra Serif" w:hAnsi="PT Astra Serif"/>
                <w:sz w:val="24"/>
                <w:szCs w:val="24"/>
              </w:rPr>
              <w:t xml:space="preserve"> по которому обеспечены ипотекой - 2 млн рублей (для жилых помещений, расположенных на территории г. Москвы – 4,5 млн рублей, Московской области, г. Санкт-Петербурга, а также субъектов РФ, входящих в состав Дальневосточного федерального округа - 3 млн рублей).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кредитный договор должен быть заключен до вступления в силу закона о кредитных каникулах;</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заемщик в момент подачи заявки на отсрочку платежей не должен находиться на ипотечных каникулах, закон о которых действует с августа 2019 года.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Кредитные каникулы даются на полгода, и обратиться за ними можно в любой день до 30.09.2020, при этом каникулы не предоставляются повторно и воспользоваться ими заемщик может лишь один раз.</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Чтобы уйти на кредитные каникулы, нужно подать заявление в банк способом, предусмотренным договором, или по телефону с номера, информация о котором предоставлена заемщиком кредитору.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Предоставлять пакет документов, подтверждающих снижение дохода, при подаче заявления не обязательно. По закону условия, позволяющие получить каникулы, считаются соблюденными, если не доказано иное.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Банк имеет право запросить у заемщика подтверждающие документы, </w:t>
            </w:r>
            <w:proofErr w:type="gramStart"/>
            <w:r w:rsidRPr="005632E2">
              <w:rPr>
                <w:rFonts w:ascii="PT Astra Serif" w:hAnsi="PT Astra Serif"/>
                <w:sz w:val="24"/>
                <w:szCs w:val="24"/>
              </w:rPr>
              <w:t>например</w:t>
            </w:r>
            <w:proofErr w:type="gramEnd"/>
            <w:r w:rsidRPr="005632E2">
              <w:rPr>
                <w:rFonts w:ascii="PT Astra Serif" w:hAnsi="PT Astra Serif"/>
                <w:sz w:val="24"/>
                <w:szCs w:val="24"/>
              </w:rPr>
              <w:t>: справку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за 2019 год и иные документы, свидетельствующие о снижении дохода заемщика. Центробанку разрешено устанавливать дополнительный перечень таких документов.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Кредитор также вправе сам обратиться за информацией о доходах заемщика в ФНС, ПФР, Фонд социального страхования или Федеральный фонд обязательного медицинского страхования, проинформировав об этом клиента. Согласие заемщика на такой запрос не требуется – оно считается полученным с направления им заявления о каникулах.</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Собрать и передать документы по запросу банка заемщик должен в течение 90 дней после обращения за каникулами, а если есть уважительная причина для </w:t>
            </w:r>
            <w:proofErr w:type="spellStart"/>
            <w:r w:rsidRPr="005632E2">
              <w:rPr>
                <w:rFonts w:ascii="PT Astra Serif" w:hAnsi="PT Astra Serif"/>
                <w:sz w:val="24"/>
                <w:szCs w:val="24"/>
              </w:rPr>
              <w:t>непредоставления</w:t>
            </w:r>
            <w:proofErr w:type="spellEnd"/>
            <w:r w:rsidRPr="005632E2">
              <w:rPr>
                <w:rFonts w:ascii="PT Astra Serif" w:hAnsi="PT Astra Serif"/>
                <w:sz w:val="24"/>
                <w:szCs w:val="24"/>
              </w:rPr>
              <w:t xml:space="preserve"> документов, то этот срок может быть продлен еще на 30 дней. На рассмотрение документов и ответ заемщику </w:t>
            </w:r>
            <w:r w:rsidRPr="005632E2">
              <w:rPr>
                <w:rFonts w:ascii="PT Astra Serif" w:hAnsi="PT Astra Serif"/>
                <w:sz w:val="24"/>
                <w:szCs w:val="24"/>
              </w:rPr>
              <w:lastRenderedPageBreak/>
              <w:t>закон отводит банку пять дней. Если банк не запросит дополнительных документов в течение 60 дней, то льготный период подтверждается автоматически.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Заемщик вправе выбрать длительность льготного периода не более шести месяцев и дату его начала (не позже, чем через две недели со дня подачи заявления об отсрочке по потребительскому кредиту и месяц – по ипотеке). Если в заявлении не указаны желаемые срок и дата начала каникул, то каникулы устанавливаются на полгода и отсчитываются с момента подачи заявления.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В течение каникул тело кредита и проценты по нему не выплачиваются. Начислять неустойку, штрафы и пени за неисполнение обязательств по кредитному договору банк не вправе. За этот период проценты на ипотечные кредиты также не начисляются, а на потребительские ссуды и кредитные карты – начисляются в меньшем размере: по ставке в 2/3 от установленного ЦБ среднерыночного значения полной стоимости кредита на остаток основного долга. Сумма начисленных процентов фиксируется в конце льготного периода.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случае ипотечного кредита после завершения льготного периода заемщик сначала погашает кредит согласно первоначальному графику платежей, а затем вносит пропущенные платежи. Срок кредита таким образом продлевается на величину льготного периода, а изначально установленная общая сумма платежей для заемщика с ипотекой не меняется.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Факт выхода на кредитные каникулы будет отражен в кредитной истории заемщика, но в ее информационную часть сведения о неплатежах по кредиту в льготный период включаться не будут.</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Претендовать на льготный период могут как благонадежные заемщики, так и те, кто допускал в прошлом или имеет в настоящий момент просрочки платежей по кредиту. Сумма штрафов и пеней, набежавших за неплатежи по кредиту до каникул, фиксируется на время льготного периода и выплачивается после его завершения.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период каникул заемщик может досрочно погашать долг; платежи должны быть направлены прежде всего на погашение тела кредита. Льготный период при этом не прерывается.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Заемщик также может в любой момент прервать каникулы, направив кредитору соответствующее уведомление.</w:t>
            </w:r>
          </w:p>
        </w:tc>
      </w:tr>
      <w:tr w:rsidR="00FD30FC"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0FC" w:rsidRPr="005632E2" w:rsidRDefault="00FD30FC"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rPr>
                <w:rFonts w:ascii="PT Astra Serif" w:hAnsi="PT Astra Serif"/>
                <w:sz w:val="24"/>
                <w:szCs w:val="24"/>
              </w:rPr>
            </w:pPr>
            <w:r w:rsidRPr="005632E2">
              <w:rPr>
                <w:rFonts w:ascii="PT Astra Serif" w:hAnsi="PT Astra Serif"/>
                <w:sz w:val="24"/>
                <w:szCs w:val="24"/>
              </w:rPr>
              <w:t>Взыскание с должника общей суммы задолженности по решению судебных органов</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случае неисполнения сторонами обязательств по кредитному договору, в том числе, если заемщик не осуществляет платежи в установленном договором порядке, судебными органами может быть вынесено решение о взыскании с должника общей суммы задолженности.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На основании статьи 2 Федерального закона Российской Федерации от 02.10.2007 № 229-ФЗ «Об исполнительном производстве» задачами исполнительного производства является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w:t>
            </w:r>
            <w:r w:rsidRPr="005632E2">
              <w:rPr>
                <w:rFonts w:ascii="PT Astra Serif" w:hAnsi="PT Astra Serif"/>
                <w:sz w:val="24"/>
                <w:szCs w:val="24"/>
              </w:rPr>
              <w:lastRenderedPageBreak/>
              <w:t>документов в целях защиты нарушенных прав, свобод и законных интересов граждан и организаций.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рамках исполнительного производства о взыскании задолженности копии постановлений о возбуждении исполнительного производства в установленном порядке направляются сторонам исполнительного производства.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соответствии с действующим законодательством об исполнительном производстве в случае неисполнения должником требований исполнительного документа в срок, установленный судебным приставом-исполнителем для добровольного исполнения, судебный пристав-исполнитель обязан применять меры принудительного исполнения.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На основании статей 64, 68 Федерального закона Российской Федерации от 02.10.2007 № 229-ФЗ «Об исполнительном производстве» и статьи 12 Федерального закона от 21.07.1997 № 118-ФЗ «О судебных приставах» судебный пристав-исполнитель имеет право самостоятельно избирать меры принудительного исполнения, предусмотренные законодательством Российской Федерации, направленные на полное и правильное исполнение требований исполнительного документа, исходя из принципов исполнительного производства. Таким образом, право выбора мер совершения отдельных действий предоставлено судебному приставу-исполнителю.</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соответствии с ч.2 ст.99 Федерального закона от 02.10.2007 № 229-ФЗ «Об исполнительном производстве»,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Согласно п.12 ч.1 ст.101 Федерального закона от 02.10.2007 № 229-ФЗ «Об исполнительном производстве», взыскание не может быть обращено на следующие виды доходов: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денежные суммы, выплачиваемые в возмещение вреда, причиненного здоровью;</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денежные суммы, выплачиваемые в возмещение вреда в связи со смертью кормильца;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компенсационные выплаты за счет средств федерального бюджета, бюджетов субъектов Российской Федерации и местных бюджетов гражданам, пострадавшим в результате радиационных или техногенных катастроф;</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компенсационные выплаты за счет средств федерального бюджета, бюджетов субъектов Российской Федерации и местных бюджетов гражданам в связи с уходом за нетрудоспособными гражданами;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 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другое);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компенсационные выплаты, установленные законодательством Российской Федерации о труде: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а) в связи со служебной командировкой, с переводом, приемом или направлением на работу в другую местность;</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б) в связи с изнашиванием инструмента, принадлежащего работнику;</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денежные суммы, выплачиваемые организацией в связи с рождением ребенка, со смертью родных, с регистрацией брака;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страховое обеспечение по обязательному социальному страхованию, за исключением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временной нетрудоспособности;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пенсии по случаю потери кормильца, выплачиваемые за счет средств федерального бюджета;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выплаты к пенсиям по случаю потери кормильца за счет средств бюджетов субъектов Российской Федерации;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средства материнского (семейного) капитала, предусмотренные Федеральным законом от 29.12.2006 № 256-ФЗ «О дополнительных мерах государственной поддержки семей, имеющих детей»;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суммы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средств иностранных государств, российских, иностранных и межгосударственных организаций, иных источников:</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а) в связи со стихийным бедствием или другими чрезвычайными обстоятельствами;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б) в связи с террористическим актом;</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в связи со смертью члена семьи;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г) в виде гуманитарной помощи;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д) за оказание содействия в выявлении, предупреждении, пресечении и раскрытии террористических актов, иных преступлений;</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lastRenderedPageBreak/>
              <w:t>-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Российской Федерации санаторно-курортные и оздоровительные учреждения;</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социальное пособие на погребение;</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причинен вред различной степени тяжести.</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(п. 18 введен Федеральным законом от 21.02.2019 N 12-ФЗ).</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В этой связи необходимо письменно проинформировать судебного пристава-исполнителя о том, что указанный счет является счетом для получения социальных пособий с приложением документов в подтверждение данного факта, размера получаемого дохода (социального пособия), и потребовать отозвать исполнительный документ из банка.</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 xml:space="preserve">Кроме этого, необходимо также письменно проинформировать банк о недопустимости исполнения требований судебного пристава-исполнителя со ссылкой на Федеральный закон от 02.12.1990 № 395-1 «О банках и банковской деятельности» (далее – Закона) и с приложением тех же документов в подтверждение социальных выплат, поскольку согласно ч. 8 ст. 70 Закона не исполнять исполнительный документ или постановление судебного пристава-исполнителя полностью банк или иная кредитная организация может в случае отсутствия на счетах должника денежных средств либо в случае, когда на денежные средства, находящиеся на указанных счетах, наложен арест или когда в порядке, установленном законом, приостановлены операции с денежными средствами, либо в иных случаях, предусмотренных федеральным законом. </w:t>
            </w:r>
          </w:p>
          <w:p w:rsidR="00FD30FC" w:rsidRPr="005632E2" w:rsidRDefault="00FD30FC" w:rsidP="005632E2">
            <w:pPr>
              <w:tabs>
                <w:tab w:val="left" w:pos="1985"/>
              </w:tabs>
              <w:spacing w:after="0" w:line="240" w:lineRule="auto"/>
              <w:jc w:val="both"/>
              <w:rPr>
                <w:rFonts w:ascii="PT Astra Serif" w:hAnsi="PT Astra Serif"/>
                <w:sz w:val="24"/>
                <w:szCs w:val="24"/>
              </w:rPr>
            </w:pPr>
            <w:r w:rsidRPr="005632E2">
              <w:rPr>
                <w:rFonts w:ascii="PT Astra Serif" w:hAnsi="PT Astra Serif"/>
                <w:sz w:val="24"/>
                <w:szCs w:val="24"/>
              </w:rPr>
              <w:t>Следует иметь в виду, что если на счет могут быть зачислены иные доходы, не подпадающие под указанные в ч. 1 ст. 30 Закона, то такие доходы в сумме, превышающей размер социальных пособий, могут быть изъяты (взысканы) со счета.</w:t>
            </w:r>
          </w:p>
        </w:tc>
      </w:tr>
      <w:tr w:rsidR="00914C9B" w:rsidRPr="005632E2" w:rsidTr="0068316E">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4C9B" w:rsidRPr="005632E2" w:rsidRDefault="00914C9B"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14C9B" w:rsidRPr="005632E2" w:rsidRDefault="00914C9B" w:rsidP="005632E2">
            <w:pPr>
              <w:pStyle w:val="ab"/>
              <w:ind w:hanging="24"/>
              <w:rPr>
                <w:rFonts w:ascii="PT Astra Serif" w:hAnsi="PT Astra Serif"/>
                <w:sz w:val="24"/>
                <w:szCs w:val="24"/>
              </w:rPr>
            </w:pPr>
            <w:r w:rsidRPr="005632E2">
              <w:rPr>
                <w:rFonts w:ascii="PT Astra Serif" w:hAnsi="PT Astra Serif"/>
                <w:sz w:val="24"/>
                <w:szCs w:val="24"/>
              </w:rPr>
              <w:t xml:space="preserve">Исполнительные документы, предусматривающие обращение взыскания на средства казенных, </w:t>
            </w:r>
            <w:r w:rsidRPr="005632E2">
              <w:rPr>
                <w:rFonts w:ascii="PT Astra Serif" w:hAnsi="PT Astra Serif"/>
                <w:sz w:val="24"/>
                <w:szCs w:val="24"/>
              </w:rPr>
              <w:lastRenderedPageBreak/>
              <w:t>бюджетных и автономных учреждений Тульской области, лицевые счета которых открыты в министерстве финансов Тульской области</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14C9B" w:rsidRPr="005632E2" w:rsidRDefault="00914C9B" w:rsidP="005632E2">
            <w:pPr>
              <w:pStyle w:val="ab"/>
              <w:ind w:hanging="24"/>
              <w:rPr>
                <w:rFonts w:ascii="PT Astra Serif" w:hAnsi="PT Astra Serif"/>
                <w:sz w:val="24"/>
                <w:szCs w:val="24"/>
              </w:rPr>
            </w:pPr>
            <w:r w:rsidRPr="005632E2">
              <w:rPr>
                <w:rFonts w:ascii="PT Astra Serif" w:hAnsi="PT Astra Serif"/>
                <w:sz w:val="24"/>
                <w:szCs w:val="24"/>
              </w:rPr>
              <w:lastRenderedPageBreak/>
              <w:t>Уведомление о поступлении (возвращении) исполнительного листа, решения налогового органа.</w:t>
            </w:r>
          </w:p>
          <w:p w:rsidR="00914C9B" w:rsidRPr="005632E2" w:rsidRDefault="00914C9B" w:rsidP="005632E2">
            <w:pPr>
              <w:pStyle w:val="ab"/>
              <w:ind w:hanging="24"/>
              <w:rPr>
                <w:rFonts w:ascii="PT Astra Serif" w:hAnsi="PT Astra Serif"/>
                <w:sz w:val="24"/>
                <w:szCs w:val="24"/>
              </w:rPr>
            </w:pPr>
          </w:p>
        </w:tc>
      </w:tr>
      <w:tr w:rsidR="00CE0113" w:rsidRPr="005632E2"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5632E2" w:rsidRDefault="008D0BAF" w:rsidP="005632E2">
            <w:pPr>
              <w:spacing w:after="0" w:line="240" w:lineRule="auto"/>
              <w:ind w:firstLine="459"/>
              <w:jc w:val="center"/>
              <w:rPr>
                <w:rFonts w:ascii="PT Astra Serif" w:hAnsi="PT Astra Serif"/>
                <w:b/>
                <w:i/>
                <w:szCs w:val="28"/>
              </w:rPr>
            </w:pPr>
            <w:r w:rsidRPr="005632E2">
              <w:rPr>
                <w:rFonts w:ascii="PT Astra Serif" w:hAnsi="PT Astra Serif"/>
                <w:b/>
                <w:i/>
                <w:szCs w:val="28"/>
              </w:rPr>
              <w:t xml:space="preserve">Туризм </w:t>
            </w:r>
          </w:p>
        </w:tc>
      </w:tr>
      <w:tr w:rsidR="008D0BAF"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rPr>
                <w:rFonts w:ascii="PT Astra Serif" w:hAnsi="PT Astra Serif"/>
                <w:bCs/>
                <w:sz w:val="24"/>
                <w:szCs w:val="24"/>
                <w:shd w:val="clear" w:color="auto" w:fill="FFFFFF"/>
                <w:lang w:eastAsia="ru-RU"/>
              </w:rPr>
            </w:pPr>
            <w:r w:rsidRPr="005632E2">
              <w:rPr>
                <w:rFonts w:ascii="PT Astra Serif" w:hAnsi="PT Astra Serif"/>
                <w:bCs/>
                <w:sz w:val="24"/>
                <w:szCs w:val="24"/>
                <w:shd w:val="clear" w:color="auto" w:fill="FFFFFF"/>
                <w:lang w:eastAsia="ru-RU"/>
              </w:rPr>
              <w:t>О прохождении классификации гостиницами и аналогичными средствами размещения</w:t>
            </w:r>
          </w:p>
          <w:p w:rsidR="008D0BAF" w:rsidRPr="005632E2" w:rsidRDefault="008D0BAF" w:rsidP="005632E2">
            <w:pPr>
              <w:spacing w:after="0" w:line="240" w:lineRule="auto"/>
              <w:rPr>
                <w:rFonts w:ascii="PT Astra Serif" w:hAnsi="PT Astra Serif"/>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sz w:val="24"/>
                <w:szCs w:val="24"/>
                <w:lang w:eastAsia="ru-RU"/>
              </w:rPr>
            </w:pPr>
            <w:r w:rsidRPr="005632E2">
              <w:rPr>
                <w:rFonts w:ascii="PT Astra Serif" w:hAnsi="PT Astra Serif"/>
                <w:sz w:val="24"/>
                <w:szCs w:val="24"/>
                <w:lang w:eastAsia="ru-RU"/>
              </w:rPr>
              <w:t xml:space="preserve">     В соответствии со ст.5 Федерального закона от 24.11.1996 № 132-ФЗ «Об основах туристской деятельности в Российской Федерации» классификация обязательна:</w:t>
            </w:r>
          </w:p>
          <w:p w:rsidR="008D0BAF" w:rsidRPr="005632E2" w:rsidRDefault="008D0BAF" w:rsidP="005632E2">
            <w:pPr>
              <w:spacing w:after="0" w:line="240" w:lineRule="auto"/>
              <w:jc w:val="both"/>
              <w:rPr>
                <w:rFonts w:ascii="PT Astra Serif" w:hAnsi="PT Astra Serif"/>
                <w:sz w:val="24"/>
                <w:szCs w:val="24"/>
                <w:lang w:eastAsia="ru-RU"/>
              </w:rPr>
            </w:pPr>
            <w:r w:rsidRPr="005632E2">
              <w:rPr>
                <w:rFonts w:ascii="PT Astra Serif" w:hAnsi="PT Astra Serif"/>
                <w:sz w:val="24"/>
                <w:szCs w:val="24"/>
                <w:lang w:eastAsia="ru-RU"/>
              </w:rPr>
              <w:t xml:space="preserve">с 01.07.2019 в отношении гостиниц с номерным фондом более 50 гостиничных номеров, </w:t>
            </w:r>
          </w:p>
          <w:p w:rsidR="008D0BAF" w:rsidRPr="005632E2" w:rsidRDefault="008D0BAF" w:rsidP="005632E2">
            <w:pPr>
              <w:spacing w:after="0" w:line="240" w:lineRule="auto"/>
              <w:jc w:val="both"/>
              <w:rPr>
                <w:rFonts w:ascii="PT Astra Serif" w:hAnsi="PT Astra Serif"/>
                <w:sz w:val="24"/>
                <w:szCs w:val="24"/>
                <w:lang w:eastAsia="ru-RU"/>
              </w:rPr>
            </w:pPr>
            <w:r w:rsidRPr="005632E2">
              <w:rPr>
                <w:rFonts w:ascii="PT Astra Serif" w:hAnsi="PT Astra Serif"/>
                <w:sz w:val="24"/>
                <w:szCs w:val="24"/>
                <w:lang w:eastAsia="ru-RU"/>
              </w:rPr>
              <w:t xml:space="preserve">с 01.01.2020 в отношении гостиниц с номерным фондом более 15 номеров; </w:t>
            </w:r>
          </w:p>
          <w:p w:rsidR="008D0BAF" w:rsidRPr="005632E2" w:rsidRDefault="008D0BAF" w:rsidP="005632E2">
            <w:pPr>
              <w:spacing w:after="0" w:line="240" w:lineRule="auto"/>
              <w:jc w:val="both"/>
              <w:rPr>
                <w:rFonts w:ascii="PT Astra Serif" w:hAnsi="PT Astra Serif"/>
                <w:sz w:val="24"/>
                <w:szCs w:val="24"/>
                <w:lang w:eastAsia="ru-RU"/>
              </w:rPr>
            </w:pPr>
            <w:r w:rsidRPr="005632E2">
              <w:rPr>
                <w:rFonts w:ascii="PT Astra Serif" w:hAnsi="PT Astra Serif"/>
                <w:sz w:val="24"/>
                <w:szCs w:val="24"/>
                <w:lang w:eastAsia="ru-RU"/>
              </w:rPr>
              <w:t>с 01.01.2022 в отношении всех гостиниц.</w:t>
            </w:r>
          </w:p>
          <w:p w:rsidR="008D0BAF" w:rsidRPr="005632E2" w:rsidRDefault="008D0BAF" w:rsidP="005632E2">
            <w:pPr>
              <w:autoSpaceDE w:val="0"/>
              <w:autoSpaceDN w:val="0"/>
              <w:spacing w:after="0" w:line="240" w:lineRule="auto"/>
              <w:jc w:val="both"/>
              <w:rPr>
                <w:rFonts w:ascii="PT Astra Serif" w:hAnsi="PT Astra Serif"/>
                <w:sz w:val="24"/>
                <w:szCs w:val="24"/>
              </w:rPr>
            </w:pPr>
            <w:r w:rsidRPr="005632E2">
              <w:rPr>
                <w:rFonts w:ascii="PT Astra Serif" w:hAnsi="PT Astra Serif"/>
                <w:sz w:val="24"/>
                <w:szCs w:val="24"/>
              </w:rPr>
              <w:t xml:space="preserve">      Постановлением Правительства РФ от 16.02.2019 N 158 утверждено Положение о классификации гостиниц (далее - Положение), определяющее порядок классификации гостиниц, приостановления или прекращения действия свидетельства о присвоении гостинице определенной категории, виды гостиниц, их категории и требования к категориям.</w:t>
            </w:r>
          </w:p>
          <w:p w:rsidR="008D0BAF" w:rsidRPr="005632E2" w:rsidRDefault="008D0BAF" w:rsidP="005632E2">
            <w:pPr>
              <w:autoSpaceDE w:val="0"/>
              <w:autoSpaceDN w:val="0"/>
              <w:spacing w:after="0" w:line="240" w:lineRule="auto"/>
              <w:jc w:val="both"/>
              <w:rPr>
                <w:rFonts w:ascii="PT Astra Serif" w:hAnsi="PT Astra Serif"/>
                <w:sz w:val="24"/>
                <w:szCs w:val="24"/>
                <w:lang w:eastAsia="ru-RU"/>
              </w:rPr>
            </w:pPr>
            <w:r w:rsidRPr="005632E2">
              <w:rPr>
                <w:rFonts w:ascii="PT Astra Serif" w:hAnsi="PT Astra Serif"/>
                <w:sz w:val="24"/>
                <w:szCs w:val="24"/>
                <w:lang w:eastAsia="ru-RU"/>
              </w:rPr>
              <w:t xml:space="preserve">       В соответствии с Положением классификация гостиниц проводится специальными аккредитованными организациями - юридическими лицами, осуществляющими деятельность по классификации гостиниц при наличии действующего аттестата аккредитации. Аккредитует такие организации Минэкономразвития России, которое также ведет реестр классифицированных объектов на сайте </w:t>
            </w:r>
            <w:hyperlink r:id="rId9" w:history="1">
              <w:r w:rsidRPr="005632E2">
                <w:rPr>
                  <w:rStyle w:val="a3"/>
                  <w:rFonts w:ascii="PT Astra Serif" w:hAnsi="PT Astra Serif"/>
                  <w:color w:val="auto"/>
                  <w:sz w:val="24"/>
                  <w:szCs w:val="24"/>
                  <w:lang w:eastAsia="ru-RU"/>
                </w:rPr>
                <w:t>http://классификация-туризм.рф</w:t>
              </w:r>
            </w:hyperlink>
            <w:r w:rsidRPr="005632E2">
              <w:rPr>
                <w:rFonts w:ascii="PT Astra Serif" w:hAnsi="PT Astra Serif"/>
                <w:sz w:val="24"/>
                <w:szCs w:val="24"/>
                <w:lang w:eastAsia="ru-RU"/>
              </w:rPr>
              <w:t>.</w:t>
            </w:r>
          </w:p>
        </w:tc>
      </w:tr>
      <w:tr w:rsidR="008D0BAF"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Cs/>
                <w:sz w:val="24"/>
                <w:szCs w:val="24"/>
                <w:shd w:val="clear" w:color="auto" w:fill="FFFFFF"/>
                <w:lang w:eastAsia="ru-RU"/>
              </w:rPr>
            </w:pPr>
            <w:r w:rsidRPr="005632E2">
              <w:rPr>
                <w:rFonts w:ascii="PT Astra Serif" w:hAnsi="PT Astra Serif"/>
                <w:bCs/>
                <w:sz w:val="24"/>
                <w:szCs w:val="24"/>
                <w:lang w:eastAsia="ru-RU"/>
              </w:rPr>
              <w:t>О последствиях предоставления гостиничных услуг без прохождения классификации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 xml:space="preserve">В соответствии со статьей 14.39 КоАП РФ 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w:t>
            </w:r>
          </w:p>
          <w:p w:rsidR="008D0BAF" w:rsidRPr="005632E2" w:rsidRDefault="008D0BAF" w:rsidP="005632E2">
            <w:pPr>
              <w:spacing w:after="0" w:line="240" w:lineRule="auto"/>
              <w:rPr>
                <w:rFonts w:ascii="PT Astra Serif" w:hAnsi="PT Astra Serif"/>
                <w:sz w:val="24"/>
                <w:szCs w:val="24"/>
              </w:rPr>
            </w:pPr>
            <w:r w:rsidRPr="005632E2">
              <w:rPr>
                <w:rFonts w:ascii="PT Astra Serif" w:hAnsi="PT Astra Serif"/>
                <w:sz w:val="24"/>
                <w:szCs w:val="24"/>
                <w:lang w:eastAsia="ru-RU"/>
              </w:rPr>
              <w:t>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tc>
      </w:tr>
      <w:tr w:rsidR="008D0BAF"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Cs/>
                <w:sz w:val="24"/>
                <w:szCs w:val="24"/>
                <w:shd w:val="clear" w:color="auto" w:fill="FFFFFF"/>
                <w:lang w:eastAsia="ru-RU"/>
              </w:rPr>
            </w:pPr>
            <w:r w:rsidRPr="005632E2">
              <w:rPr>
                <w:rFonts w:ascii="PT Astra Serif" w:hAnsi="PT Astra Serif"/>
                <w:bCs/>
                <w:sz w:val="24"/>
                <w:szCs w:val="24"/>
                <w:lang w:eastAsia="ru-RU"/>
              </w:rPr>
              <w:t>Виды гостиниц, для которых классификация обязательна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Для целей классификации все виды гостиниц классифицируются по «системе звезд», в которой предусмотрено 6 категорий: «пять звезд», «четыре звезды», «три звезды», «две звезды», «одна звезда», «без звезд». Высшей категорией является категория «пять звезд», низшей – «без звезд».</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lastRenderedPageBreak/>
              <w:t>Классификация обязательна для следующих видов гостиниц:</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а) гостиница, отель - средство размещения, представляющее собой имущественный комплекс, включающий в себя здание или часть здания, помещения и иное имущество, в котором предоставляются услуги размещения и, как правило, услуги питания, имеющее службу приема, а также оборудование для оказания дополнительных услуг;</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б) гостиница, расположенная в здании, являющемся объектом культурного наследия или находящемся на территории исторического поселения, - вид гостиниц, имеющих в силу этого ограничение при проведении реставрации и ремонтных работ;</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в) курортный отель, санаторий, база отдыха, туристская база, центр отдыха, туристская деревня (деревня отдыха), дом отдыха, пансионат и другие аналогичные средства размещения, которые расположены в местности, обладающей в том числе природными лечебными ресурсами (минеральные воды, грязи, климат и другие), оказывают на собственной базе в качестве дополнительных услуг услуги оздоровительного характера с использованием указанных природных ресурсов и имеют возможности и соответствующее оборудование для организации занятий спортом и развлечений;</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 xml:space="preserve">г) </w:t>
            </w:r>
            <w:proofErr w:type="spellStart"/>
            <w:r w:rsidRPr="005632E2">
              <w:rPr>
                <w:rFonts w:ascii="PT Astra Serif" w:hAnsi="PT Astra Serif"/>
                <w:sz w:val="24"/>
                <w:szCs w:val="24"/>
                <w:lang w:eastAsia="ru-RU"/>
              </w:rPr>
              <w:t>апартотель</w:t>
            </w:r>
            <w:proofErr w:type="spellEnd"/>
            <w:r w:rsidRPr="005632E2">
              <w:rPr>
                <w:rFonts w:ascii="PT Astra Serif" w:hAnsi="PT Astra Serif"/>
                <w:sz w:val="24"/>
                <w:szCs w:val="24"/>
                <w:lang w:eastAsia="ru-RU"/>
              </w:rPr>
              <w:t xml:space="preserve"> - вид гостиниц, номерной фонд которых состоит исключительно из номеров категорий «студия» и «апартамент»;</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д) мотель - вид гостиниц с автостоянкой, предоставляющих гостиничные и иные сопутствующие услуги для размещения автомобилистов;</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е) комплекс апартаментов - вид гостиниц, номерной фонд которых состоит из номеров различных категорий с кухонным оборудованием и полным санузлом;</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 xml:space="preserve">ж) </w:t>
            </w:r>
            <w:proofErr w:type="spellStart"/>
            <w:r w:rsidRPr="005632E2">
              <w:rPr>
                <w:rFonts w:ascii="PT Astra Serif" w:hAnsi="PT Astra Serif"/>
                <w:sz w:val="24"/>
                <w:szCs w:val="24"/>
                <w:lang w:eastAsia="ru-RU"/>
              </w:rPr>
              <w:t>акватель</w:t>
            </w:r>
            <w:proofErr w:type="spellEnd"/>
            <w:r w:rsidRPr="005632E2">
              <w:rPr>
                <w:rFonts w:ascii="PT Astra Serif" w:hAnsi="PT Astra Serif"/>
                <w:sz w:val="24"/>
                <w:szCs w:val="24"/>
                <w:lang w:eastAsia="ru-RU"/>
              </w:rPr>
              <w:t xml:space="preserve"> - вид гостиниц, находящихся в переоборудованных стационарных плавучих транспортных средствах, находящихся на воде, но изъятых из эксплуатации;</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з) хостел - вид гостиниц, включающих в себя многоместные номера, но не более 12 мест в одном номере, помещения для совместного использования гостями (гостиные, холлы, комнаты для завтраков и т.п.), общая суммарная площадь которых составляет не менее 25 процентов общей суммарной площади номеров, санитарные объекты, расположенные, как правило, за пределами номера, и предоставляющих услуги питания с ограниченным выбором блюд и (или) кухонное оборудование, а также по возможности дополнительные услуги;</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и) фермерский гостевой дом (комнаты) - вид гостиниц, расположенных в сельской местности, предоставляющих услуги размещения и питания в основном из продуктов, производимых в крестьянско-фермерском хозяйстве;</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к) горный приют, дом охотника, дом рыбака, шале, бунгало - изолированные дома с кухонным оборудованием, находящиеся в горной местности, в лесу, на берегу водоема.</w:t>
            </w:r>
          </w:p>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 xml:space="preserve">Классификацию не проходят средства размещения, используемые для осуществления основной деятельности организаций отдыха и оздоровления детей, медицинских организаций, </w:t>
            </w:r>
            <w:r w:rsidRPr="005632E2">
              <w:rPr>
                <w:rFonts w:ascii="PT Astra Serif" w:hAnsi="PT Astra Serif"/>
                <w:sz w:val="24"/>
                <w:szCs w:val="24"/>
                <w:lang w:eastAsia="ru-RU"/>
              </w:rPr>
              <w:lastRenderedPageBreak/>
              <w:t>организаций социального обслуживания, физкультурно-спортивных организаций, централизованных религиозных организаций, а также кемпинги, общежития и иные средства размещения, в которых не предоставляются гостиничные услуги.</w:t>
            </w:r>
          </w:p>
        </w:tc>
      </w:tr>
      <w:tr w:rsidR="008D0BAF"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
                <w:sz w:val="24"/>
                <w:szCs w:val="24"/>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jc w:val="both"/>
              <w:rPr>
                <w:rFonts w:ascii="PT Astra Serif" w:hAnsi="PT Astra Serif"/>
                <w:bCs/>
                <w:sz w:val="24"/>
                <w:szCs w:val="24"/>
                <w:shd w:val="clear" w:color="auto" w:fill="FFFFFF"/>
                <w:lang w:eastAsia="ru-RU"/>
              </w:rPr>
            </w:pPr>
            <w:r w:rsidRPr="005632E2">
              <w:rPr>
                <w:rFonts w:ascii="PT Astra Serif" w:hAnsi="PT Astra Serif"/>
                <w:bCs/>
                <w:sz w:val="24"/>
                <w:szCs w:val="24"/>
                <w:lang w:eastAsia="ru-RU"/>
              </w:rPr>
              <w:t>Об оформлении гостиницами акта обследования и/или паспорта безопасности и последствиях предоставления гостиничных услуг без прохождения классификации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BAF" w:rsidRPr="005632E2" w:rsidRDefault="008D0BAF" w:rsidP="005632E2">
            <w:pPr>
              <w:spacing w:after="0" w:line="240" w:lineRule="auto"/>
              <w:ind w:firstLine="709"/>
              <w:jc w:val="both"/>
              <w:rPr>
                <w:rFonts w:ascii="PT Astra Serif" w:hAnsi="PT Astra Serif"/>
                <w:sz w:val="24"/>
                <w:szCs w:val="24"/>
                <w:lang w:eastAsia="ru-RU"/>
              </w:rPr>
            </w:pPr>
            <w:r w:rsidRPr="005632E2">
              <w:rPr>
                <w:rFonts w:ascii="PT Astra Serif" w:hAnsi="PT Astra Serif"/>
                <w:sz w:val="24"/>
                <w:szCs w:val="24"/>
                <w:lang w:eastAsia="ru-RU"/>
              </w:rPr>
              <w:t>Порядок оформления акта обследование и паспорта безопасности регламентирован постановлением Правительства Российской Федерации от 14 апреля 2017 г. № 447 «Об утверждении требований к антитеррористической защищенности гостиниц и иных средств размещения и формы паспорта безопасности этих объектов».</w:t>
            </w:r>
          </w:p>
          <w:p w:rsidR="008D0BAF" w:rsidRPr="005632E2" w:rsidRDefault="008D0BAF" w:rsidP="005632E2">
            <w:pPr>
              <w:spacing w:after="0" w:line="240" w:lineRule="auto"/>
              <w:ind w:firstLine="709"/>
              <w:jc w:val="both"/>
              <w:rPr>
                <w:rFonts w:ascii="PT Astra Serif" w:hAnsi="PT Astra Serif"/>
                <w:sz w:val="24"/>
                <w:szCs w:val="24"/>
              </w:rPr>
            </w:pPr>
            <w:r w:rsidRPr="005632E2">
              <w:rPr>
                <w:rFonts w:ascii="PT Astra Serif" w:hAnsi="PT Astra Serif"/>
                <w:sz w:val="24"/>
                <w:szCs w:val="24"/>
              </w:rPr>
              <w:t>В соответствии с частью 1 статьи 20.6 КоАП РФ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tc>
      </w:tr>
      <w:tr w:rsidR="00AE5806" w:rsidRPr="005632E2" w:rsidTr="007676BA">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06" w:rsidRPr="005632E2" w:rsidRDefault="00AE5806" w:rsidP="005632E2">
            <w:pPr>
              <w:spacing w:after="0" w:line="240" w:lineRule="auto"/>
              <w:ind w:firstLine="459"/>
              <w:jc w:val="center"/>
              <w:rPr>
                <w:rFonts w:ascii="PT Astra Serif" w:hAnsi="PT Astra Serif"/>
                <w:b/>
                <w:i/>
                <w:szCs w:val="28"/>
              </w:rPr>
            </w:pPr>
            <w:r w:rsidRPr="005632E2">
              <w:rPr>
                <w:rFonts w:ascii="PT Astra Serif" w:hAnsi="PT Astra Serif"/>
                <w:b/>
                <w:i/>
                <w:szCs w:val="28"/>
              </w:rPr>
              <w:t>Охрана объектов культурного наследия</w:t>
            </w:r>
          </w:p>
        </w:tc>
      </w:tr>
      <w:tr w:rsidR="00AE5806"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06" w:rsidRPr="005632E2" w:rsidRDefault="00AE5806"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О порядке выполнения работ на объекте культурного наследия?</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В соответствии с частью 1 статьи 45 Федерального закона от 25.06.2002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задания, разрешения, проектной документации на проведение работ по сохранению объекта культурного наследия, согласованной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tc>
      </w:tr>
      <w:tr w:rsidR="00AE5806"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06" w:rsidRPr="005632E2" w:rsidRDefault="00AE5806"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О порядке оформления акта технического состояния объекта культурного наследия?</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Акт технического состояния объекта культурного наследия, включенного в реестр, выявленного объекта культурного наследия составляется инспекцией Тульской области по государственной охране объектов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В целях оформления акта технического состояния объекта культурного наследия собственникам или законным владельцам необходимо обратиться с соответствующим заявлением в адрес инспекции.</w:t>
            </w:r>
          </w:p>
        </w:tc>
      </w:tr>
      <w:tr w:rsidR="00AE5806"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06" w:rsidRPr="005632E2" w:rsidRDefault="00AE5806"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Предоставляются ли льготы при аренде объектов культурного наследия?</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 xml:space="preserve">Да, предоставляются. Минимальный размер арендной платы за пользование объектами культурного наследия, являющимися собственностью Тульской области, составляет 50 процентов от рыночного размера арендной платы, определенного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Минимальный размер арендной платы за пользование объектами культурного наследия, находящимися в неудовлетворительном </w:t>
            </w:r>
            <w:r w:rsidRPr="005632E2">
              <w:rPr>
                <w:rFonts w:ascii="PT Astra Serif" w:eastAsia="Calibri" w:hAnsi="PT Astra Serif" w:cs="Times New Roman"/>
                <w:sz w:val="24"/>
                <w:szCs w:val="24"/>
              </w:rPr>
              <w:lastRenderedPageBreak/>
              <w:t>состоянии, являющимися собственностью Тульской области, устанавливается в сумме 1 рубль в год за один объект культурного наследия.</w:t>
            </w:r>
          </w:p>
        </w:tc>
      </w:tr>
      <w:tr w:rsidR="00AE5806"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06" w:rsidRPr="005632E2" w:rsidRDefault="00AE5806"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О финансировании проведения ремонта объекта культурного наследия.</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5806" w:rsidRPr="005632E2" w:rsidRDefault="00AE5806" w:rsidP="005632E2">
            <w:pPr>
              <w:spacing w:after="0" w:line="240" w:lineRule="auto"/>
              <w:jc w:val="both"/>
              <w:rPr>
                <w:rFonts w:ascii="PT Astra Serif" w:eastAsia="Calibri" w:hAnsi="PT Astra Serif" w:cs="Times New Roman"/>
                <w:sz w:val="24"/>
                <w:szCs w:val="24"/>
              </w:rPr>
            </w:pPr>
            <w:r w:rsidRPr="005632E2">
              <w:rPr>
                <w:rFonts w:ascii="PT Astra Serif" w:eastAsia="Calibri" w:hAnsi="PT Astra Serif" w:cs="Times New Roman"/>
                <w:sz w:val="24"/>
                <w:szCs w:val="24"/>
              </w:rPr>
              <w:t>Положениями статьи 47.3 Федерального закона № 73-ФЗ «Об объектах культурного наследия (памятниках истории и культуры) народов Российской Федерации» обязанность по содержанию объекта культурного наследия возлагается на его собственника или иного законного владельца.</w:t>
            </w:r>
          </w:p>
        </w:tc>
      </w:tr>
      <w:tr w:rsidR="008C2529" w:rsidRPr="005632E2" w:rsidTr="00920685">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529" w:rsidRPr="005632E2" w:rsidRDefault="008C2529" w:rsidP="005632E2">
            <w:pPr>
              <w:spacing w:after="0" w:line="240" w:lineRule="auto"/>
              <w:jc w:val="center"/>
              <w:rPr>
                <w:rFonts w:ascii="PT Astra Serif" w:eastAsia="Calibri" w:hAnsi="PT Astra Serif" w:cs="Times New Roman"/>
                <w:b/>
                <w:i/>
                <w:szCs w:val="28"/>
              </w:rPr>
            </w:pPr>
            <w:r w:rsidRPr="005632E2">
              <w:rPr>
                <w:rFonts w:ascii="PT Astra Serif" w:eastAsia="Calibri" w:hAnsi="PT Astra Serif" w:cs="Times New Roman"/>
                <w:b/>
                <w:i/>
                <w:szCs w:val="28"/>
              </w:rPr>
              <w:t>Долевое строительство</w:t>
            </w:r>
          </w:p>
        </w:tc>
      </w:tr>
      <w:tr w:rsidR="008C2529"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529" w:rsidRPr="005632E2" w:rsidRDefault="008C2529"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C2529" w:rsidRPr="005632E2" w:rsidRDefault="008C2529" w:rsidP="005632E2">
            <w:pPr>
              <w:spacing w:after="0" w:line="240" w:lineRule="auto"/>
              <w:jc w:val="both"/>
              <w:rPr>
                <w:rFonts w:ascii="PT Astra Serif" w:eastAsia="PT Astra Serif" w:hAnsi="PT Astra Serif" w:cs="PT Astra Serif"/>
                <w:color w:val="000000"/>
                <w:sz w:val="24"/>
              </w:rPr>
            </w:pPr>
            <w:r w:rsidRPr="005632E2">
              <w:rPr>
                <w:rFonts w:ascii="PT Astra Serif" w:eastAsia="PT Astra Serif" w:hAnsi="PT Astra Serif" w:cs="PT Astra Serif"/>
                <w:color w:val="000000" w:themeColor="text1"/>
                <w:sz w:val="24"/>
                <w:szCs w:val="28"/>
              </w:rPr>
              <w:t xml:space="preserve">Изменение срока передачи объекта долевого строительства </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C2529" w:rsidRPr="005632E2" w:rsidRDefault="008C2529" w:rsidP="005632E2">
            <w:pPr>
              <w:spacing w:after="0" w:line="240" w:lineRule="auto"/>
              <w:jc w:val="both"/>
              <w:rPr>
                <w:rFonts w:ascii="PT Astra Serif" w:eastAsia="PT Astra Serif" w:hAnsi="PT Astra Serif" w:cs="PT Astra Serif"/>
                <w:bCs/>
                <w:color w:val="000000" w:themeColor="text1"/>
                <w:sz w:val="24"/>
                <w:szCs w:val="28"/>
              </w:rPr>
            </w:pPr>
            <w:r w:rsidRPr="005632E2">
              <w:rPr>
                <w:rFonts w:ascii="PT Astra Serif" w:eastAsia="PT Astra Serif" w:hAnsi="PT Astra Serif" w:cs="PT Astra Serif"/>
                <w:bCs/>
                <w:color w:val="000000" w:themeColor="text1"/>
                <w:sz w:val="24"/>
                <w:szCs w:val="28"/>
              </w:rPr>
              <w:t>В соответствии со ст.6 Закона № 214-ФЗ застройщик имеет право перенести срок передачи объекта долевого строительства.</w:t>
            </w:r>
          </w:p>
          <w:p w:rsidR="008C2529" w:rsidRPr="005632E2" w:rsidRDefault="008C2529" w:rsidP="005632E2">
            <w:pPr>
              <w:spacing w:after="0" w:line="240" w:lineRule="auto"/>
              <w:jc w:val="both"/>
              <w:rPr>
                <w:rFonts w:ascii="PT Astra Serif" w:eastAsia="PT Astra Serif" w:hAnsi="PT Astra Serif" w:cs="PT Astra Serif"/>
                <w:color w:val="000000"/>
                <w:sz w:val="24"/>
              </w:rPr>
            </w:pPr>
            <w:r w:rsidRPr="005632E2">
              <w:rPr>
                <w:rFonts w:ascii="PT Astra Serif" w:eastAsia="PT Astra Serif" w:hAnsi="PT Astra Serif" w:cs="PT Astra Serif"/>
                <w:bCs/>
                <w:color w:val="000000" w:themeColor="text1"/>
                <w:sz w:val="24"/>
                <w:szCs w:val="28"/>
              </w:rPr>
              <w:t xml:space="preserve">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10" w:history="1">
              <w:r w:rsidRPr="005632E2">
                <w:rPr>
                  <w:rStyle w:val="a3"/>
                  <w:rFonts w:ascii="PT Astra Serif" w:eastAsia="PT Astra Serif" w:hAnsi="PT Astra Serif" w:cs="PT Astra Serif"/>
                  <w:bCs/>
                  <w:color w:val="000000" w:themeColor="text1"/>
                  <w:sz w:val="24"/>
                  <w:szCs w:val="28"/>
                </w:rPr>
                <w:t>кодексом</w:t>
              </w:r>
            </w:hyperlink>
            <w:r w:rsidRPr="005632E2">
              <w:rPr>
                <w:rFonts w:ascii="PT Astra Serif" w:eastAsia="PT Astra Serif" w:hAnsi="PT Astra Serif" w:cs="PT Astra Serif"/>
                <w:bCs/>
                <w:color w:val="000000" w:themeColor="text1"/>
                <w:sz w:val="24"/>
                <w:szCs w:val="28"/>
              </w:rPr>
              <w:t xml:space="preserve"> Российской Федерации и Законом № 214-ФЗ.</w:t>
            </w:r>
          </w:p>
          <w:p w:rsidR="008C2529" w:rsidRPr="005632E2" w:rsidRDefault="008C2529" w:rsidP="005632E2">
            <w:pPr>
              <w:pStyle w:val="ConsPlusNormal0"/>
              <w:ind w:firstLine="0"/>
              <w:jc w:val="both"/>
              <w:rPr>
                <w:rFonts w:ascii="PT Astra Serif" w:eastAsia="PT Astra Serif" w:hAnsi="PT Astra Serif" w:cs="PT Astra Serif"/>
                <w:color w:val="000000" w:themeColor="text1"/>
                <w:sz w:val="24"/>
                <w:szCs w:val="28"/>
              </w:rPr>
            </w:pPr>
            <w:r w:rsidRPr="005632E2">
              <w:rPr>
                <w:rFonts w:ascii="PT Astra Serif" w:eastAsia="PT Astra Serif" w:hAnsi="PT Astra Serif" w:cs="PT Astra Serif"/>
                <w:color w:val="000000" w:themeColor="text1"/>
                <w:sz w:val="24"/>
                <w:szCs w:val="28"/>
              </w:rPr>
              <w:t>Соответственно срок передачи объекта долевого строительства может быть изменен в договоре, когда участник добровольно согласится на такое изменение, т.е. подписание дополнительного соглашения о переносе срока является правом дольщика, а не его обязанностью.</w:t>
            </w:r>
          </w:p>
          <w:p w:rsidR="008C2529" w:rsidRPr="005632E2" w:rsidRDefault="008C2529" w:rsidP="005632E2">
            <w:pPr>
              <w:pStyle w:val="ConsPlusNormal0"/>
              <w:ind w:firstLine="0"/>
              <w:jc w:val="both"/>
              <w:rPr>
                <w:rFonts w:ascii="PT Astra Serif" w:eastAsia="PT Astra Serif" w:hAnsi="PT Astra Serif" w:cs="PT Astra Serif"/>
                <w:color w:val="000000"/>
                <w:sz w:val="24"/>
              </w:rPr>
            </w:pPr>
            <w:r w:rsidRPr="005632E2">
              <w:rPr>
                <w:rFonts w:ascii="PT Astra Serif" w:eastAsia="PT Astra Serif" w:hAnsi="PT Astra Serif" w:cs="PT Astra Serif"/>
                <w:color w:val="000000" w:themeColor="text1"/>
                <w:sz w:val="24"/>
                <w:szCs w:val="28"/>
              </w:rPr>
              <w:t>Кроме того, в случае несогласия участника долевого строительства с переносом срока, застройщик уплачивает участнику долевого строительства неустойку (пени).</w:t>
            </w:r>
          </w:p>
        </w:tc>
      </w:tr>
      <w:tr w:rsidR="008C2529" w:rsidRPr="005632E2"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529" w:rsidRPr="005632E2" w:rsidRDefault="008C2529" w:rsidP="005632E2">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C2529" w:rsidRPr="005632E2" w:rsidRDefault="008C2529" w:rsidP="005632E2">
            <w:pPr>
              <w:spacing w:after="0" w:line="240" w:lineRule="auto"/>
              <w:jc w:val="both"/>
              <w:rPr>
                <w:rFonts w:ascii="PT Astra Serif" w:eastAsia="PT Astra Serif" w:hAnsi="PT Astra Serif" w:cs="PT Astra Serif"/>
                <w:color w:val="000000" w:themeColor="text1"/>
                <w:sz w:val="24"/>
                <w:szCs w:val="28"/>
              </w:rPr>
            </w:pPr>
            <w:r w:rsidRPr="005632E2">
              <w:rPr>
                <w:rFonts w:ascii="PT Astra Serif" w:eastAsia="PT Astra Serif" w:hAnsi="PT Astra Serif" w:cs="PT Astra Serif"/>
                <w:color w:val="000000" w:themeColor="text1"/>
                <w:sz w:val="24"/>
                <w:szCs w:val="28"/>
              </w:rPr>
              <w:t>Передача объекта долевого строительства</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C2529" w:rsidRPr="005632E2" w:rsidRDefault="008C2529" w:rsidP="005632E2">
            <w:pPr>
              <w:spacing w:after="0" w:line="240" w:lineRule="auto"/>
              <w:jc w:val="both"/>
              <w:rPr>
                <w:rFonts w:ascii="PT Astra Serif" w:eastAsia="PT Astra Serif" w:hAnsi="PT Astra Serif" w:cs="PT Astra Serif"/>
                <w:bCs/>
                <w:color w:val="000000" w:themeColor="text1"/>
                <w:sz w:val="24"/>
                <w:szCs w:val="28"/>
              </w:rPr>
            </w:pPr>
            <w:r w:rsidRPr="005632E2">
              <w:rPr>
                <w:rFonts w:ascii="PT Astra Serif" w:eastAsia="PT Astra Serif" w:hAnsi="PT Astra Serif" w:cs="PT Astra Serif"/>
                <w:color w:val="000000"/>
                <w:sz w:val="24"/>
              </w:rPr>
              <w:t>В соответствии с ч. 1 ст. 8 Федерального закона от 30.12.2004 №214-ФЗ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
        </w:tc>
      </w:tr>
    </w:tbl>
    <w:p w:rsidR="00083026" w:rsidRPr="005632E2" w:rsidRDefault="00083026" w:rsidP="005632E2">
      <w:pPr>
        <w:framePr w:w="15192" w:wrap="auto" w:vAnchor="text" w:hAnchor="page" w:x="1126" w:y="-35"/>
        <w:spacing w:after="0" w:line="240" w:lineRule="auto"/>
        <w:rPr>
          <w:rFonts w:ascii="PT Astra Serif" w:eastAsia="Times New Roman" w:hAnsi="PT Astra Serif" w:cs="Times New Roman"/>
          <w:sz w:val="24"/>
          <w:szCs w:val="24"/>
          <w:lang w:eastAsia="ru-RU"/>
        </w:rPr>
        <w:sectPr w:rsidR="00083026" w:rsidRPr="005632E2" w:rsidSect="00D12520">
          <w:pgSz w:w="16838" w:h="11906" w:orient="landscape"/>
          <w:pgMar w:top="851" w:right="1134" w:bottom="851" w:left="1134" w:header="709" w:footer="709" w:gutter="0"/>
          <w:cols w:space="708"/>
          <w:docGrid w:linePitch="360"/>
        </w:sectPr>
      </w:pPr>
    </w:p>
    <w:p w:rsidR="001B0498" w:rsidRPr="005632E2" w:rsidRDefault="001B0498" w:rsidP="005632E2">
      <w:pPr>
        <w:spacing w:after="0" w:line="240" w:lineRule="auto"/>
        <w:rPr>
          <w:rFonts w:ascii="PT Astra Serif" w:eastAsia="Times New Roman" w:hAnsi="PT Astra Serif" w:cs="Times New Roman"/>
          <w:sz w:val="24"/>
          <w:szCs w:val="24"/>
          <w:lang w:eastAsia="ru-RU"/>
        </w:rPr>
      </w:pPr>
    </w:p>
    <w:sectPr w:rsidR="001B0498" w:rsidRPr="00563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E2625"/>
    <w:multiLevelType w:val="hybridMultilevel"/>
    <w:tmpl w:val="7F3E1396"/>
    <w:lvl w:ilvl="0" w:tplc="AC38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636B6D"/>
    <w:multiLevelType w:val="hybridMultilevel"/>
    <w:tmpl w:val="92A2CD9C"/>
    <w:lvl w:ilvl="0" w:tplc="1222FA1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FB5354F"/>
    <w:multiLevelType w:val="hybridMultilevel"/>
    <w:tmpl w:val="856ABE7A"/>
    <w:lvl w:ilvl="0" w:tplc="5EE275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BB"/>
    <w:rsid w:val="00014A83"/>
    <w:rsid w:val="000572E0"/>
    <w:rsid w:val="000766B2"/>
    <w:rsid w:val="00083026"/>
    <w:rsid w:val="00093465"/>
    <w:rsid w:val="000C6060"/>
    <w:rsid w:val="000E5729"/>
    <w:rsid w:val="00107573"/>
    <w:rsid w:val="001107B1"/>
    <w:rsid w:val="001A7143"/>
    <w:rsid w:val="001B0498"/>
    <w:rsid w:val="00237876"/>
    <w:rsid w:val="002D0484"/>
    <w:rsid w:val="002D29EF"/>
    <w:rsid w:val="002D366A"/>
    <w:rsid w:val="002F69BD"/>
    <w:rsid w:val="00314701"/>
    <w:rsid w:val="00355A66"/>
    <w:rsid w:val="003713ED"/>
    <w:rsid w:val="00371BEB"/>
    <w:rsid w:val="0037424B"/>
    <w:rsid w:val="003C02DE"/>
    <w:rsid w:val="003D7A3E"/>
    <w:rsid w:val="003F1DFF"/>
    <w:rsid w:val="00461905"/>
    <w:rsid w:val="0048110D"/>
    <w:rsid w:val="0048514A"/>
    <w:rsid w:val="004B1B13"/>
    <w:rsid w:val="004E6B72"/>
    <w:rsid w:val="004E6C6F"/>
    <w:rsid w:val="00536172"/>
    <w:rsid w:val="005441B3"/>
    <w:rsid w:val="00555D07"/>
    <w:rsid w:val="00555E4B"/>
    <w:rsid w:val="00562579"/>
    <w:rsid w:val="005632E2"/>
    <w:rsid w:val="00577E82"/>
    <w:rsid w:val="005815BB"/>
    <w:rsid w:val="005D24EE"/>
    <w:rsid w:val="00602444"/>
    <w:rsid w:val="006426BC"/>
    <w:rsid w:val="0068316E"/>
    <w:rsid w:val="006B1AB9"/>
    <w:rsid w:val="006D0416"/>
    <w:rsid w:val="00702B27"/>
    <w:rsid w:val="00717F16"/>
    <w:rsid w:val="00752009"/>
    <w:rsid w:val="007A0030"/>
    <w:rsid w:val="007D22F0"/>
    <w:rsid w:val="007E2682"/>
    <w:rsid w:val="007E5073"/>
    <w:rsid w:val="00833A2B"/>
    <w:rsid w:val="00885A95"/>
    <w:rsid w:val="008C2529"/>
    <w:rsid w:val="008D0BAF"/>
    <w:rsid w:val="008E3493"/>
    <w:rsid w:val="008E6D0D"/>
    <w:rsid w:val="009074E6"/>
    <w:rsid w:val="00914C9B"/>
    <w:rsid w:val="00924515"/>
    <w:rsid w:val="00940F2E"/>
    <w:rsid w:val="00955ECB"/>
    <w:rsid w:val="009A66A1"/>
    <w:rsid w:val="009D029D"/>
    <w:rsid w:val="00AE5806"/>
    <w:rsid w:val="00AF2312"/>
    <w:rsid w:val="00B243D0"/>
    <w:rsid w:val="00B3006B"/>
    <w:rsid w:val="00B54ED8"/>
    <w:rsid w:val="00BB0DD7"/>
    <w:rsid w:val="00BC6E26"/>
    <w:rsid w:val="00C85FDB"/>
    <w:rsid w:val="00CE0113"/>
    <w:rsid w:val="00CE09A1"/>
    <w:rsid w:val="00D12520"/>
    <w:rsid w:val="00D467FA"/>
    <w:rsid w:val="00E121A7"/>
    <w:rsid w:val="00E24C91"/>
    <w:rsid w:val="00EA228C"/>
    <w:rsid w:val="00EB05D9"/>
    <w:rsid w:val="00EB508C"/>
    <w:rsid w:val="00EC2507"/>
    <w:rsid w:val="00ED1A5C"/>
    <w:rsid w:val="00EE2131"/>
    <w:rsid w:val="00EE2F85"/>
    <w:rsid w:val="00F04423"/>
    <w:rsid w:val="00F04FB7"/>
    <w:rsid w:val="00F10649"/>
    <w:rsid w:val="00F12A41"/>
    <w:rsid w:val="00F42912"/>
    <w:rsid w:val="00F622F2"/>
    <w:rsid w:val="00F66509"/>
    <w:rsid w:val="00F864BC"/>
    <w:rsid w:val="00F9269F"/>
    <w:rsid w:val="00FA27C1"/>
    <w:rsid w:val="00FD30FC"/>
    <w:rsid w:val="00FE2DEC"/>
    <w:rsid w:val="00FF1881"/>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2390-5A94-4BF7-A9FE-85B1D310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07"/>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D07"/>
    <w:rPr>
      <w:color w:val="0563C1" w:themeColor="hyperlink"/>
      <w:u w:val="single"/>
    </w:rPr>
  </w:style>
  <w:style w:type="paragraph" w:styleId="a4">
    <w:name w:val="Balloon Text"/>
    <w:basedOn w:val="a"/>
    <w:link w:val="a5"/>
    <w:uiPriority w:val="99"/>
    <w:semiHidden/>
    <w:unhideWhenUsed/>
    <w:rsid w:val="002D29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29EF"/>
    <w:rPr>
      <w:rFonts w:ascii="Segoe UI" w:hAnsi="Segoe UI" w:cs="Segoe UI"/>
      <w:sz w:val="18"/>
      <w:szCs w:val="18"/>
    </w:rPr>
  </w:style>
  <w:style w:type="paragraph" w:styleId="a6">
    <w:name w:val="Plain Text"/>
    <w:basedOn w:val="a"/>
    <w:link w:val="1"/>
    <w:rsid w:val="00536172"/>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uiPriority w:val="99"/>
    <w:semiHidden/>
    <w:rsid w:val="00536172"/>
    <w:rPr>
      <w:rFonts w:ascii="Consolas" w:hAnsi="Consolas" w:cs="Consolas"/>
      <w:sz w:val="21"/>
      <w:szCs w:val="21"/>
    </w:rPr>
  </w:style>
  <w:style w:type="character" w:customStyle="1" w:styleId="1">
    <w:name w:val="Текст Знак1"/>
    <w:link w:val="a6"/>
    <w:rsid w:val="00536172"/>
    <w:rPr>
      <w:rFonts w:ascii="Courier New" w:eastAsia="Times New Roman" w:hAnsi="Courier New" w:cs="Times New Roman"/>
      <w:sz w:val="20"/>
      <w:szCs w:val="20"/>
      <w:lang w:eastAsia="ru-RU"/>
    </w:rPr>
  </w:style>
  <w:style w:type="paragraph" w:styleId="a8">
    <w:name w:val="Body Text"/>
    <w:basedOn w:val="a"/>
    <w:link w:val="a9"/>
    <w:rsid w:val="004B1B13"/>
    <w:pPr>
      <w:spacing w:after="120" w:line="240" w:lineRule="auto"/>
    </w:pPr>
    <w:rPr>
      <w:rFonts w:eastAsia="Times New Roman" w:cs="Times New Roman"/>
      <w:sz w:val="24"/>
      <w:szCs w:val="24"/>
      <w:lang w:eastAsia="ru-RU"/>
    </w:rPr>
  </w:style>
  <w:style w:type="character" w:customStyle="1" w:styleId="a9">
    <w:name w:val="Основной текст Знак"/>
    <w:basedOn w:val="a0"/>
    <w:link w:val="a8"/>
    <w:rsid w:val="004B1B13"/>
    <w:rPr>
      <w:rFonts w:ascii="Times New Roman" w:eastAsia="Times New Roman" w:hAnsi="Times New Roman" w:cs="Times New Roman"/>
      <w:sz w:val="24"/>
      <w:szCs w:val="24"/>
      <w:lang w:eastAsia="ru-RU"/>
    </w:rPr>
  </w:style>
  <w:style w:type="paragraph" w:styleId="aa">
    <w:name w:val="No Spacing"/>
    <w:uiPriority w:val="1"/>
    <w:qFormat/>
    <w:rsid w:val="00B3006B"/>
    <w:pPr>
      <w:spacing w:after="0" w:line="240" w:lineRule="auto"/>
    </w:pPr>
    <w:rPr>
      <w:rFonts w:ascii="Calibri" w:eastAsia="Calibri" w:hAnsi="Calibri" w:cs="Times New Roman"/>
    </w:rPr>
  </w:style>
  <w:style w:type="paragraph" w:styleId="ab">
    <w:name w:val="Body Text Indent"/>
    <w:basedOn w:val="a"/>
    <w:link w:val="ac"/>
    <w:rsid w:val="002D0484"/>
    <w:pPr>
      <w:spacing w:after="0" w:line="240" w:lineRule="auto"/>
      <w:ind w:firstLine="720"/>
      <w:jc w:val="both"/>
    </w:pPr>
    <w:rPr>
      <w:rFonts w:eastAsia="Times New Roman" w:cs="Times New Roman"/>
      <w:szCs w:val="20"/>
      <w:lang w:eastAsia="ru-RU"/>
    </w:rPr>
  </w:style>
  <w:style w:type="character" w:customStyle="1" w:styleId="ac">
    <w:name w:val="Основной текст с отступом Знак"/>
    <w:basedOn w:val="a0"/>
    <w:link w:val="ab"/>
    <w:rsid w:val="002D0484"/>
    <w:rPr>
      <w:rFonts w:ascii="Times New Roman" w:eastAsia="Times New Roman" w:hAnsi="Times New Roman" w:cs="Times New Roman"/>
      <w:sz w:val="28"/>
      <w:szCs w:val="20"/>
      <w:lang w:eastAsia="ru-RU"/>
    </w:rPr>
  </w:style>
  <w:style w:type="paragraph" w:styleId="ad">
    <w:name w:val="List Paragraph"/>
    <w:basedOn w:val="a"/>
    <w:uiPriority w:val="34"/>
    <w:qFormat/>
    <w:rsid w:val="002D0484"/>
    <w:pPr>
      <w:ind w:left="720"/>
      <w:contextualSpacing/>
    </w:pPr>
    <w:rPr>
      <w:rFonts w:ascii="Calibri" w:eastAsia="Calibri" w:hAnsi="Calibri" w:cs="Times New Roman"/>
      <w:sz w:val="22"/>
    </w:rPr>
  </w:style>
  <w:style w:type="table" w:styleId="ae">
    <w:name w:val="Table Grid"/>
    <w:basedOn w:val="a1"/>
    <w:uiPriority w:val="39"/>
    <w:rsid w:val="00602444"/>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555E4B"/>
    <w:rPr>
      <w:rFonts w:ascii="Arial" w:hAnsi="Arial" w:cs="Arial"/>
    </w:rPr>
  </w:style>
  <w:style w:type="paragraph" w:customStyle="1" w:styleId="ConsPlusNormal0">
    <w:name w:val="ConsPlusNormal"/>
    <w:link w:val="ConsPlusNormal"/>
    <w:rsid w:val="00555E4B"/>
    <w:pPr>
      <w:autoSpaceDE w:val="0"/>
      <w:autoSpaceDN w:val="0"/>
      <w:adjustRightInd w:val="0"/>
      <w:spacing w:after="0" w:line="240" w:lineRule="auto"/>
      <w:ind w:firstLine="720"/>
    </w:pPr>
    <w:rPr>
      <w:rFonts w:ascii="Arial" w:hAnsi="Arial" w:cs="Arial"/>
    </w:rPr>
  </w:style>
  <w:style w:type="paragraph" w:styleId="af">
    <w:name w:val="Normal (Web)"/>
    <w:basedOn w:val="a"/>
    <w:uiPriority w:val="99"/>
    <w:unhideWhenUsed/>
    <w:rsid w:val="001107B1"/>
    <w:pPr>
      <w:spacing w:after="15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91393">
      <w:bodyDiv w:val="1"/>
      <w:marLeft w:val="0"/>
      <w:marRight w:val="0"/>
      <w:marTop w:val="0"/>
      <w:marBottom w:val="0"/>
      <w:divBdr>
        <w:top w:val="none" w:sz="0" w:space="0" w:color="auto"/>
        <w:left w:val="none" w:sz="0" w:space="0" w:color="auto"/>
        <w:bottom w:val="none" w:sz="0" w:space="0" w:color="auto"/>
        <w:right w:val="none" w:sz="0" w:space="0" w:color="auto"/>
      </w:divBdr>
    </w:div>
    <w:div w:id="11871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if.tularegion.ru" TargetMode="External"/><Relationship Id="rId3" Type="http://schemas.openxmlformats.org/officeDocument/2006/relationships/styles" Target="styles.xml"/><Relationship Id="rId7" Type="http://schemas.openxmlformats.org/officeDocument/2006/relationships/hyperlink" Target="http://pravo.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patul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51AA967A369F4710FD9D92F33644CF28A8A4BD7005D8B5B72F347A565G46CI" TargetMode="External"/><Relationship Id="rId4" Type="http://schemas.openxmlformats.org/officeDocument/2006/relationships/settings" Target="settings.xml"/><Relationship Id="rId9" Type="http://schemas.openxmlformats.org/officeDocument/2006/relationships/hyperlink" Target="http://&#1082;&#1083;&#1072;&#1089;&#1089;&#1080;&#1092;&#1080;&#1082;&#1072;&#1094;&#1080;&#1103;-&#1090;&#1091;&#1088;&#1080;&#1079;&#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0BC5-BD77-42A9-B037-2C55450D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8410</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56235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Алина Альбертовна</dc:creator>
  <cp:keywords/>
  <dc:description/>
  <cp:lastModifiedBy>Головко Екатерина Владимировна</cp:lastModifiedBy>
  <cp:revision>16</cp:revision>
  <cp:lastPrinted>2019-03-05T17:15:00Z</cp:lastPrinted>
  <dcterms:created xsi:type="dcterms:W3CDTF">2020-07-08T06:44:00Z</dcterms:created>
  <dcterms:modified xsi:type="dcterms:W3CDTF">2020-07-08T08:36:00Z</dcterms:modified>
</cp:coreProperties>
</file>