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  <w:spacing w:val="6"/>
          <w:szCs w:val="28"/>
        </w:rPr>
        <w:t xml:space="preserve">Перечень </w:t>
      </w:r>
      <w:r>
        <w:rPr>
          <w:rFonts w:ascii="PT Astra Serif" w:hAnsi="PT Astra Serif"/>
          <w:b/>
          <w:color w:val="000000"/>
          <w:spacing w:val="6"/>
          <w:szCs w:val="28"/>
          <w:u w:val="single"/>
        </w:rPr>
        <w:t>возможных</w:t>
      </w:r>
      <w:r>
        <w:rPr>
          <w:rFonts w:ascii="PT Astra Serif" w:hAnsi="PT Astra Serif"/>
          <w:b/>
          <w:color w:val="000000"/>
          <w:szCs w:val="28"/>
        </w:rPr>
        <w:t xml:space="preserve"> </w:t>
      </w:r>
      <w:r>
        <w:rPr>
          <w:rFonts w:ascii="PT Astra Serif" w:hAnsi="PT Astra Serif"/>
          <w:b/>
          <w:color w:val="000000"/>
          <w:spacing w:val="6"/>
          <w:szCs w:val="28"/>
        </w:rPr>
        <w:t>мероприятий для организации работы с несовершеннолетними и семьями,</w:t>
      </w:r>
    </w:p>
    <w:p>
      <w:pPr>
        <w:pStyle w:val="Normal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  <w:spacing w:val="6"/>
          <w:szCs w:val="28"/>
        </w:rPr>
        <w:t xml:space="preserve"> </w:t>
      </w:r>
      <w:r>
        <w:rPr>
          <w:rFonts w:ascii="PT Astra Serif" w:hAnsi="PT Astra Serif"/>
          <w:b/>
          <w:color w:val="000000"/>
          <w:spacing w:val="6"/>
          <w:szCs w:val="28"/>
        </w:rPr>
        <w:t>находящимися в социально опасном положении, при разработке планов(программ) индивидуальных профилактических работ органами и учреждениями системы профилактики и безнадзорности несовершеннолетних</w:t>
      </w:r>
    </w:p>
    <w:p>
      <w:pPr>
        <w:pStyle w:val="Normal"/>
        <w:jc w:val="center"/>
        <w:rPr>
          <w:rFonts w:ascii="PT Astra Serif" w:hAnsi="PT Astra Serif"/>
          <w:b/>
          <w:color w:val="000000"/>
          <w:spacing w:val="6"/>
          <w:sz w:val="24"/>
          <w:szCs w:val="24"/>
        </w:rPr>
      </w:pPr>
      <w:r>
        <w:rPr>
          <w:rFonts w:ascii="PT Astra Serif" w:hAnsi="PT Astra Serif"/>
          <w:b/>
          <w:color w:val="000000"/>
          <w:spacing w:val="6"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spacing w:val="6"/>
          <w:sz w:val="24"/>
          <w:szCs w:val="24"/>
        </w:rPr>
      </w:pPr>
      <w:r>
        <w:rPr>
          <w:rFonts w:ascii="PT Astra Serif" w:hAnsi="PT Astra Serif"/>
          <w:b/>
          <w:spacing w:val="6"/>
          <w:sz w:val="24"/>
          <w:szCs w:val="24"/>
        </w:rPr>
      </w:r>
    </w:p>
    <w:tbl>
      <w:tblPr>
        <w:tblW w:w="1603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"/>
        <w:gridCol w:w="1764"/>
        <w:gridCol w:w="12072"/>
        <w:gridCol w:w="1751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spacing w:val="6"/>
                <w:sz w:val="20"/>
              </w:rPr>
            </w:pPr>
            <w:r>
              <w:rPr>
                <w:rFonts w:ascii="PT Astra Serif" w:hAnsi="PT Astra Serif"/>
                <w:b/>
                <w:spacing w:val="6"/>
                <w:sz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spacing w:val="6"/>
                <w:sz w:val="20"/>
              </w:rPr>
            </w:pPr>
            <w:r>
              <w:rPr>
                <w:rFonts w:ascii="PT Astra Serif" w:hAnsi="PT Astra Serif"/>
                <w:b/>
                <w:spacing w:val="6"/>
                <w:sz w:val="20"/>
              </w:rPr>
              <w:t>п/п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spacing w:val="6"/>
                <w:sz w:val="20"/>
              </w:rPr>
            </w:pPr>
            <w:r>
              <w:rPr>
                <w:rFonts w:ascii="PT Astra Serif" w:hAnsi="PT Astra Serif"/>
                <w:b/>
                <w:spacing w:val="6"/>
                <w:sz w:val="20"/>
              </w:rPr>
              <w:t xml:space="preserve">Орган / учреждение системы профилактики 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6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spacing w:val="6"/>
                <w:sz w:val="20"/>
              </w:rPr>
            </w:pPr>
            <w:r>
              <w:rPr>
                <w:rFonts w:ascii="PT Astra Serif" w:hAnsi="PT Astra Serif"/>
                <w:b/>
                <w:spacing w:val="6"/>
                <w:sz w:val="24"/>
                <w:szCs w:val="24"/>
              </w:rPr>
              <w:t>Примечания</w:t>
            </w:r>
            <w:r>
              <w:rPr>
                <w:rFonts w:ascii="PT Astra Serif" w:hAnsi="PT Astra Serif"/>
                <w:b/>
                <w:spacing w:val="6"/>
                <w:sz w:val="20"/>
              </w:rPr>
              <w:t xml:space="preserve"> 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Учреждения социального обслуживания семьи и детей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4"/>
                <w:szCs w:val="24"/>
              </w:rPr>
              <w:t>В рамках оказания необходимой помощи в соответствии с индивидуальной программой социальной реабилитации предусматриваются следующие услуги.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социально-бытовые услуги: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социального патронажа (проведение обследования, систематического наблюдения, мониторинга условий жизнедеятельности семьи по месту жительства (фактического пребывания);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социально-бытовых услуг в стационарной форме в рамках временного помещения в организацию социального обслуживания (предоставление площади жилых помещений согласно утвержденным нормативам, а также помещений для предоставления всех видов социальных услуг, предоставление банно-прачечных услуг, оказание социально-бытовых услуг индивидуального обслуживающего и гигиенического характера, обеспечение питанием согласно утвержденным нормативам, обеспечение мягким инвентарем согласно утвержденным нормативам, обеспечение книгами, журналами, газетами, настольными играми, помощь в приеме пищи (кормление);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кратковременного присмотра за детьми (в организации социального обслуживания, при возникновении сложных жизненных обстоятельств, в целях оказания помощи в целях освобождения времени получателя социальной услуги для решения важных социальных проблем (оформления льгот, пособий, поиска работы, трудоустройство и пр.);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социально-медицинские услуги: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оздоровительных мероприятий (содействие в предоставлении услуг отдыха, оздоровления и направлении на санаторно-курортное лечение (в том числе на льготных условиях); организация занятий в спортивных, тренажерных залах; проведение спортивно-оздоровительных мероприятий);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консультирование по социально-медицинским вопросам;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мероприятий, направленных на формирование здорового образа жизни;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социально-медицинских услуг в стационарной форме в рамках временного помещения в организацию социального обслуживания (выполнение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проведение оздоровительных мероприятий, систематическое наблюдение за получателями социальных услуг в целях выявления отклонений в состоянии их здоровья, консультирование по социально-медицинским вопросам, проведение мероприятий, направленных на формирование здорового образа жизни);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социально-психологические услуги: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социально-психологического консультирования, в том числе по вопросам внутрисемейных отношений;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психологической помощи и поддержки;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психологических диагностики и обследования личности;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психологическая коррекция;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психолого-педагогическое сопровождение ребенка на стадии предварительного расследования, судебного разбирательства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(по согласованию с данными органами и судами);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социально-педагогические услуги: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за детьми инвалидами;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социально-педагогическое консультирование;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социально-педагогической диагностики; 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социально-педагогическая коррекция;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досуга, проведение клубной и кружковой работы для формирования и развития позитивных интересов (организация и проведение разнообразных мероприятий социокультурной направленности, в том числе и за пределами организации социального обслуживания, проведение занятий с получателем социальных услуг в группах взаимоподдержки, клубах общения; организация кружковой (клубной) работы для формирования и развития творческих способностей, склонностей и интересов);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занятий по адаптивной физической культуре;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обучение членов семей финансовой грамотности, вопросам воспитания, организации досуга и развития детей;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социально-трудовые услуги: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оказание помощи в трудоустройстве;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 xml:space="preserve">социально-правовые услуги: 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оказание помощи в оформлении и восстановлении документов получателей социальных услуг;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оказание помощи в получении юридических услуг;</w:t>
            </w:r>
          </w:p>
          <w:p>
            <w:pPr>
              <w:pStyle w:val="ListParagraph"/>
              <w:widowControl w:val="false"/>
              <w:spacing w:before="0" w:after="0"/>
              <w:ind w:left="0" w:firstLine="567"/>
              <w:contextualSpacing w:val="false"/>
              <w:jc w:val="both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консультирование по социально-правовым вопросам;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мероприятий, направленных на повышение правовой культуры несовершеннолетних и членов их семей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(беседы, групповые занятия);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помощи в защите прав и законных интересов получателей социальных услуг в установленном законодательством порядке (содействие в получении полагающихся льгот, пособий, компенсаций, материальной помощи и других выплат в соответствии с законодательством Российской Федерации и Тульской области; подготовка письменных обращений для решения социальных проблем и пр.);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информирование о социальных услугах;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социально-реабилитационных мероприятий в сфере социального обслуживания;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  <w:p>
            <w:pPr>
              <w:pStyle w:val="Normal"/>
              <w:widowControl w:val="false"/>
              <w:ind w:firstLine="56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обучение навыкам самообслуживания, поведения в быту и общественных местах, общения и контроля, направленным на развитие личности;</w:t>
            </w:r>
          </w:p>
          <w:p>
            <w:pPr>
              <w:pStyle w:val="Normal"/>
              <w:widowControl w:val="false"/>
              <w:ind w:firstLine="56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firstLine="567"/>
              <w:contextualSpacing/>
              <w:jc w:val="both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срочные социальные услуги: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firstLine="567"/>
              <w:contextualSpacing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обеспечение бесплатным горячим питанием или наборами продуктов;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ind w:firstLine="567"/>
              <w:contextualSpacing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Мероприятия планировать в отношении каждого члена семьи в соответствии с возрастом и потребностями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Органы управления  социальной защиты населения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мер по профилактике безнадзорности несовершеннолетних;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внедрение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предоставление мер социальной поддержки;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круглогодичного отдыха и оздоровления детей, матери и ребенка;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осуществление мероприятий по обеспечению инвалид</w:t>
            </w:r>
            <w:r>
              <w:rPr>
                <w:rFonts w:ascii="PT Astra Serif" w:hAnsi="PT Astra Serif"/>
                <w:sz w:val="24"/>
                <w:szCs w:val="24"/>
              </w:rPr>
              <w:t>ов техническими средствами реабилитации;</w:t>
            </w:r>
          </w:p>
          <w:p>
            <w:pPr>
              <w:pStyle w:val="Normal"/>
              <w:widowControl w:val="false"/>
              <w:ind w:firstLine="567"/>
              <w:rPr>
                <w:rFonts w:ascii="Cambria" w:hAnsi="Cambri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информационно-консультативных услуг</w:t>
            </w:r>
            <w:r>
              <w:rPr/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Носит заявительный характер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Органы службы занятости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Государственные услуги и мероприятия по оказанию содействия в трудоустройстве: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содействие трудовому устройству несовершеннолетних, нуждающихся в помощи государства;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участие в профессиональной ориентации несовершеннолетних;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оказание помощи в по</w:t>
            </w:r>
            <w:r>
              <w:rPr>
                <w:rFonts w:ascii="PT Astra Serif" w:hAnsi="PT Astra Serif"/>
                <w:sz w:val="24"/>
                <w:szCs w:val="24"/>
              </w:rPr>
              <w:t>даче заявления и резюме в электронной форме при личном посещении гражданином центра занятости населения для получения государственной услуги по содействию в поиске подходящей работы с использованием Единой цифровой платформы в сфере занятости и трудовых отношений «Работа России»;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оплачиваемых общественных работах;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ярмарках вакансий и учебных рабочих мест;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направление на временное трудоустройство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предложение временного трудоустройства несовершеннолетним зарегистрированным гражданам в возрасте от 14 до 18 лет в свободное от учебы время.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Носит заявительный характер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Органы, осуществляющие управление в сфере образования, и организации, осуществляющие образовательную деятельность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ежедневный плановый осмотр воспитанника (опрятность и соответствие санитарно-гигиеническим требованиям, состояние одежды и обуви, посторонние запахи, наличие повреждений на теле при подозрении на применение физического насилия в семье);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консультация (занятия) психолога: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дополнительные консультации психолога для родителей (законных представителей) детей, находящихся в социально опасном положении, по вопросам развития и воспитания ребенка, исходя из реальных возможностей семьи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ребенка;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дополнительные занятия психолога с воспитанниками из семей, находящихся в социально опасном положении;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групповые занятия психолога с классом для получения опыта позитивной социализации обучающихся из семей, находящихся в социально опасном положении;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сбор информации об условиях жизни ребенка в семье и семейных отношениях;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сбор информации о семьях, находящихся в социально опасном положении, для определения содержания внутренних и межведомственных мероприятий, проводимых для профилактики социального сиротства и социально опасного положения;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посещение семей в целях сбора сведений о материально-бытовых условиях и семейных отношениях для выявления возможностей преодоления трудных жизненных ситуаций и систематического учета факторов риска безнадзорности и правонарушений обучающегося;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текущий контроль успеваемости и дисциплины обучающегося;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документальный учёт успеваемости и поведения обучающегося из семьи, находящейся в социально опасном положении: обращать особое внимание на своевременность и качество выполнения домашних заданий, поведение и активность на уроках; поведение на переменах, характер общения с одноклассниками и учителями; попытки пронести на территорию образовательного учреждения запрещенные вещества, алкогольную продукцию, табачные изделия; вызывающее поведение в соцсетях и сети «Интернет»;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вовлечение в волонтерское движение;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привлечение обучающихся из семей, находящихся в социально опасном положении, к деятельности волонтерских сообществ и организаций с учетом интересов и способностей обучающихся.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вовлечение в общественные внутришкольные мероприятия: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привлечение обучающихся из семей, находящихся в социально опасном положении, к организации массовых просветительских, спортивных, культурных, информационно-коммуникационных мероприятий и к непосредственному участию в них. Назначение ответственными за исполнение личных поручений, при необходимости под руководством имеющего соответствующий опыт обучающегося – куратора;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обеспечение занятости в каникулярный период: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привлечение обучающихся из семей, находящихся в социально опасном положении, к посещению пришкольной оздоровительной площадки, деятельности школьных трудовых бригад в каникулярный период. При наличии возможности – налаживание общения с педагогом-наставником;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плановые медицинские осмотры, консультация медицинского работника (регулярные медицинские осмотры в целях выявления признаков соматического или нервно-психического неблагополучия, определения объема и видов медицинской помощи на период между осмотрами);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привлечение к участию в соревновательных мероприятиях (конкурсах, викторинах, конференциях, спортивных состязаниях, художественных постановках);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информирование о детском телефоне доверия;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мониторинг аккаунтов социальных сетей;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организация дополнительных занятий по предметам с целью устранения пробелов знаний;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подготовка документов для проведения психолого-медико-педагогической комиссии при наличии оснований;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оказание содействия в оформлении «Пушкинской карты»;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pacing w:val="6"/>
                <w:sz w:val="24"/>
                <w:szCs w:val="24"/>
              </w:rPr>
            </w:pPr>
            <w:r>
              <w:rPr>
                <w:rFonts w:ascii="PT Astra Serif" w:hAnsi="PT Astra Serif"/>
                <w:spacing w:val="6"/>
                <w:sz w:val="24"/>
                <w:szCs w:val="24"/>
              </w:rPr>
              <w:t>работа с родительским сообществом по распространению информации о рискованном поведении несовершеннолетних, работе системы органов профилактики, эффективных способах минимизации рисков среди детей и подростков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на территории ДОУ во время приёма детей воспитателем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на территории ДОУ, ОУ согласно Положению ДОУ, ОУ о внутреннем учете семей, находящихся в социально опасном положении, Программе и Плану ОУ по работе с семьями, находящимися в социально опасном положении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Проводится воспитателем в плановом режиме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социальным педагогом ОУ согласно плану работы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классным руководителем на постоянной основе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лидерами и представителями волонтерских сообществ при поддержке классного руководителя, социального педагога ОУ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Проводится классным руководителем, педагогами и социальным педагогом ОУ согласно плану внутришкольных мероприятий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 xml:space="preserve">Организуется классным руководителем, педагогом-наставником 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Проводятся медицинским работником ОУ при условии своевременного информирования родителей (законных представителей)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Организуется классным руководителем, социальным педагогом, педагогами ОУ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выдача направления для временного помещения детей, имеющих законных представителей в организации для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заключение соглашения о временном пребывании ребенка в организации для 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обследование условий жизнедеятельности несовершеннолетнего  и его семьи;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защита жилищных и имущественных прав детей-сирот и детей, оставшихся без попечения родителей и лиц из их числа (взыскание алиментов, содействие в оформлении пенсий и пособий, вопросы наследования, контроль за соблюдением прав при совершении сделок и т.д.);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выдача предварительного разрешения на совершение сделок, где несовершеннолетний является собственник, либо сособственник жилого помещения.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4477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Органы управления здравоохранением и медицинские организации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в оказании бесплатной медицинской помощи в объеме, определяемом в соответствии с законодательством Российской Федерации и законодательством Тульской  области;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постановка несовершеннолетних на учет в медицинской организации, получение медицинского полиса, других медицинских документов;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медицинского патронажа;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плановых медицинских осмотров на дому и в поликлинике;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первичного патронажа новорожденных;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стационарного лечения несовершеннолетнего, госпитализация ребенка в стационар в случае возникновения острого заболевания;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санитарно-просветительской работы с семьей по пропаганде здорового образа жизни, соблюдению санитарно-гигиенических норм, уходу за ребенком;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Частота медицинских осмотров врачом-педиатром участковым в поликлинике определяется возрастом ребенка.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Медицинский работник проводит первичный патронаж не менее двух раз, первое посещение осуществляет не позднее третьего дня после выписки из акушерского стационара (отделения); дети первого года жизни - ежемесячно; дети второго года жизни ежеквартально, дети третьего года жизни - 1 раз в 6 месяцев.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Дети первого года жизни в обязательном порядке, дети старше года - по показаниям.</w:t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Органы и учреждения по делам молодежи, спорта, культуры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содействия в организации спортивной и культурно-воспитательной работы с несовершеннолетними, помещенными в специализированные учреждения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вовлечение несовершеннолетних в волонтерские движения.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Носит заявительный характер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Территориальные органы внутренних дел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социальная адаптация (проведение профилактических бесед, разъяснение прав и обязанностей, степени ответственности за нарушение прав и интересов ребёнка);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по месту жительства;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обследование жилищно-бытовых условий семьи;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оказание содействия в вовлечении несовершеннолетних в занятия в художественных, технических, спортивных и других клубах, кружках, секциях;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возбуждение производства по делу об административном правонарушении в отношении родителя (законного представителя), виновных в совершении противоправного деяния;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доследственной проверки по фактам жестокого обращения родителей (иных законных представителей).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Учреждения уголовно-исполнительной системы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социально-психологического консультирования, в том числе по вопросам внутрисемейных отношений;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психологической диагностики и обследования личности;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психологическая коррекция;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профилактических бесед, лекций для формирования социально-правового мировоззрения, здорового образа жизни, правопослушного поведения;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в оказании социальной помощи;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по месту жительства с целью контроля за исполнением приговора суда,  для контроля условий проживания несовершеннолетнего ребенка и выявления факторов, угрожающих жизни и здоровью;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организация досуга (привлечение к участию в </w:t>
            </w:r>
            <w:r>
              <w:rPr>
                <w:rFonts w:ascii="PT Astra Serif" w:hAnsi="PT Astra Serif"/>
                <w:spacing w:val="6"/>
                <w:sz w:val="24"/>
                <w:szCs w:val="24"/>
              </w:rPr>
              <w:t>просветительских, спортивных, культурных, информационно-коммуникационных мероприятиях</w:t>
            </w:r>
            <w:r>
              <w:rPr>
                <w:rFonts w:ascii="PT Astra Serif" w:hAnsi="PT Astra Serif"/>
                <w:sz w:val="24"/>
                <w:szCs w:val="24"/>
              </w:rPr>
              <w:t>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pacing w:val="6"/>
                <w:sz w:val="20"/>
              </w:rPr>
            </w:pPr>
            <w:r>
              <w:rPr>
                <w:rFonts w:ascii="PT Astra Serif" w:hAnsi="PT Astra Serif"/>
                <w:spacing w:val="6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Иные органы и учреждения </w:t>
            </w:r>
          </w:p>
        </w:tc>
        <w:tc>
          <w:tcPr>
            <w:tcW w:w="1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>
            <w:pPr>
              <w:pStyle w:val="Normal"/>
              <w:widowControl w:val="false"/>
              <w:ind w:firstLine="56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вовлечение несовершеннолетних в волонтерские движения, детские общественные организации.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соответствии со ст. 21 Федерального закона от 24 июня 1999 г. № 120-ФЗ «Об основах системы профилактики безнадзорности и правонарушений несовершеннолетних»</w:t>
            </w:r>
          </w:p>
        </w:tc>
      </w:tr>
    </w:tbl>
    <w:p>
      <w:pPr>
        <w:pStyle w:val="Normal"/>
        <w:rPr>
          <w:rFonts w:ascii="PT Astra Serif" w:hAnsi="PT Astra Serif"/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709" w:right="397" w:gutter="0" w:header="709" w:top="766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1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3175" cy="20320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32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343.15pt;margin-top:0.05pt;width:100.2pt;height:15.9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5"/>
      <w:tabs>
        <w:tab w:val="clear" w:pos="4844"/>
        <w:tab w:val="clear" w:pos="9689"/>
        <w:tab w:val="center" w:pos="4677" w:leader="none"/>
        <w:tab w:val="right" w:pos="9354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widowControl w:val="false"/>
      <w:ind w:right="-108" w:hanging="0"/>
      <w:outlineLvl w:val="0"/>
    </w:pPr>
    <w:rPr>
      <w:sz w:val="24"/>
    </w:rPr>
  </w:style>
  <w:style w:type="paragraph" w:styleId="2">
    <w:name w:val="Heading 2"/>
    <w:basedOn w:val="Normal"/>
    <w:next w:val="Normal"/>
    <w:uiPriority w:val="9"/>
    <w:qFormat/>
    <w:pPr>
      <w:keepNext w:val="true"/>
      <w:jc w:val="center"/>
      <w:outlineLvl w:val="1"/>
    </w:pPr>
    <w:rPr>
      <w:b/>
      <w:sz w:val="20"/>
    </w:rPr>
  </w:style>
  <w:style w:type="paragraph" w:styleId="3">
    <w:name w:val="Heading 3"/>
    <w:basedOn w:val="Normal"/>
    <w:next w:val="Normal"/>
    <w:uiPriority w:val="9"/>
    <w:qFormat/>
    <w:pPr>
      <w:keepNext w:val="true"/>
      <w:jc w:val="left"/>
      <w:outlineLvl w:val="2"/>
    </w:pPr>
    <w:rPr/>
  </w:style>
  <w:style w:type="paragraph" w:styleId="4">
    <w:name w:val="Heading 4"/>
    <w:basedOn w:val="Normal"/>
    <w:next w:val="Normal"/>
    <w:uiPriority w:val="9"/>
    <w:qFormat/>
    <w:pPr>
      <w:keepNext w:val="true"/>
      <w:jc w:val="center"/>
      <w:outlineLvl w:val="3"/>
    </w:pPr>
    <w:rPr>
      <w:b/>
      <w:i/>
      <w:sz w:val="20"/>
    </w:rPr>
  </w:style>
  <w:style w:type="paragraph" w:styleId="5">
    <w:name w:val="Heading 5"/>
    <w:basedOn w:val="Normal"/>
    <w:next w:val="Normal"/>
    <w:uiPriority w:val="9"/>
    <w:qFormat/>
    <w:pPr>
      <w:keepNext w:val="true"/>
      <w:widowControl w:val="false"/>
      <w:jc w:val="left"/>
      <w:outlineLvl w:val="4"/>
    </w:pPr>
    <w:rPr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jc w:val="left"/>
      <w:outlineLvl w:val="5"/>
    </w:pPr>
    <w:rPr>
      <w:sz w:val="24"/>
    </w:rPr>
  </w:style>
  <w:style w:type="paragraph" w:styleId="7">
    <w:name w:val="Heading 7"/>
    <w:basedOn w:val="Normal"/>
    <w:next w:val="Normal"/>
    <w:uiPriority w:val="9"/>
    <w:qFormat/>
    <w:pPr>
      <w:keepNext w:val="true"/>
      <w:outlineLvl w:val="6"/>
    </w:pPr>
    <w:rPr>
      <w:b/>
      <w:sz w:val="24"/>
    </w:rPr>
  </w:style>
  <w:style w:type="paragraph" w:styleId="8">
    <w:name w:val="Heading 8"/>
    <w:basedOn w:val="Normal"/>
    <w:next w:val="Normal"/>
    <w:uiPriority w:val="9"/>
    <w:qFormat/>
    <w:pPr>
      <w:keepNext w:val="true"/>
      <w:jc w:val="center"/>
      <w:outlineLvl w:val="7"/>
    </w:pPr>
    <w:rPr>
      <w:b/>
      <w:sz w:val="24"/>
    </w:rPr>
  </w:style>
  <w:style w:type="paragraph" w:styleId="9">
    <w:name w:val="Heading 9"/>
    <w:basedOn w:val="Normal"/>
    <w:next w:val="Normal"/>
    <w:uiPriority w:val="9"/>
    <w:qFormat/>
    <w:pPr>
      <w:keepNext w:val="true"/>
      <w:jc w:val="left"/>
      <w:outlineLvl w:val="8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qFormat/>
    <w:rPr>
      <w:sz w:val="28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71" w:customStyle="1">
    <w:name w:val="Заголовок 7 Знак"/>
    <w:basedOn w:val="11"/>
    <w:qFormat/>
    <w:rPr>
      <w:b/>
      <w:sz w:val="24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2" w:customStyle="1">
    <w:name w:val="Оглавление 7 Знак"/>
    <w:qFormat/>
    <w:rPr>
      <w:rFonts w:ascii="XO Thames" w:hAnsi="XO Thames"/>
      <w:sz w:val="28"/>
    </w:rPr>
  </w:style>
  <w:style w:type="character" w:styleId="Style5" w:customStyle="1">
    <w:name w:val="Абзац списка Знак"/>
    <w:basedOn w:val="11"/>
    <w:qFormat/>
    <w:rPr>
      <w:sz w:val="24"/>
    </w:rPr>
  </w:style>
  <w:style w:type="character" w:styleId="Style6" w:customStyle="1">
    <w:name w:val="Маркированный список Знак"/>
    <w:basedOn w:val="11"/>
    <w:qFormat/>
    <w:rPr>
      <w:sz w:val="20"/>
    </w:rPr>
  </w:style>
  <w:style w:type="character" w:styleId="Strong">
    <w:name w:val="Strong"/>
    <w:qFormat/>
    <w:rPr>
      <w:b/>
    </w:rPr>
  </w:style>
  <w:style w:type="character" w:styleId="Style7" w:customStyle="1">
    <w:name w:val="Без интервала Знак"/>
    <w:qFormat/>
    <w:rPr>
      <w:sz w:val="24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Pr>
      <w:sz w:val="28"/>
    </w:rPr>
  </w:style>
  <w:style w:type="character" w:styleId="91" w:customStyle="1">
    <w:name w:val="Заголовок 9 Знак"/>
    <w:basedOn w:val="11"/>
    <w:qFormat/>
    <w:rPr>
      <w:b/>
      <w:sz w:val="20"/>
    </w:rPr>
  </w:style>
  <w:style w:type="character" w:styleId="Style8" w:customStyle="1">
    <w:name w:val="Текст выноски Знак"/>
    <w:basedOn w:val="11"/>
    <w:qFormat/>
    <w:rPr>
      <w:rFonts w:ascii="Tahoma" w:hAnsi="Tahoma"/>
      <w:sz w:val="16"/>
    </w:rPr>
  </w:style>
  <w:style w:type="character" w:styleId="42" w:customStyle="1">
    <w:name w:val="заголовок 4"/>
    <w:basedOn w:val="11"/>
    <w:qFormat/>
    <w:rPr>
      <w:sz w:val="28"/>
    </w:rPr>
  </w:style>
  <w:style w:type="character" w:styleId="ConsPlusNormal" w:customStyle="1">
    <w:name w:val="ConsPlusNormal"/>
    <w:link w:val="ConsPlusNormal1"/>
    <w:qFormat/>
    <w:rPr>
      <w:rFonts w:ascii="Arial" w:hAnsi="Arial"/>
    </w:rPr>
  </w:style>
  <w:style w:type="character" w:styleId="Style9" w:customStyle="1">
    <w:name w:val="Верхний колонтитул Знак"/>
    <w:basedOn w:val="11"/>
    <w:qFormat/>
    <w:rPr>
      <w:sz w:val="20"/>
    </w:rPr>
  </w:style>
  <w:style w:type="character" w:styleId="Formattext" w:customStyle="1">
    <w:name w:val="formattext"/>
    <w:basedOn w:val="11"/>
    <w:qFormat/>
    <w:rPr>
      <w:sz w:val="24"/>
    </w:rPr>
  </w:style>
  <w:style w:type="character" w:styleId="Markedcontent" w:customStyle="1">
    <w:name w:val="markedcontent"/>
    <w:qFormat/>
    <w:rPr/>
  </w:style>
  <w:style w:type="character" w:styleId="12" w:customStyle="1">
    <w:name w:val="Текст сноски Знак1"/>
    <w:link w:val="16"/>
    <w:qFormat/>
    <w:rPr/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C2" w:customStyle="1">
    <w:name w:val="c2"/>
    <w:qFormat/>
    <w:rPr/>
  </w:style>
  <w:style w:type="character" w:styleId="22" w:customStyle="1">
    <w:name w:val="Основной текст с отступом 2 Знак"/>
    <w:basedOn w:val="11"/>
    <w:qFormat/>
    <w:rPr>
      <w:sz w:val="28"/>
    </w:rPr>
  </w:style>
  <w:style w:type="character" w:styleId="51" w:customStyle="1">
    <w:name w:val="Заголовок 5 Знак"/>
    <w:basedOn w:val="11"/>
    <w:qFormat/>
    <w:rPr>
      <w:color w:val="000000"/>
      <w:sz w:val="24"/>
    </w:rPr>
  </w:style>
  <w:style w:type="character" w:styleId="Style10" w:customStyle="1">
    <w:name w:val="Цитата Знак"/>
    <w:basedOn w:val="11"/>
    <w:qFormat/>
    <w:rPr>
      <w:sz w:val="28"/>
    </w:rPr>
  </w:style>
  <w:style w:type="character" w:styleId="13" w:customStyle="1">
    <w:name w:val="Заголовок 1 Знак"/>
    <w:basedOn w:val="11"/>
    <w:qFormat/>
    <w:rPr>
      <w:color w:val="000000"/>
      <w:sz w:val="24"/>
    </w:rPr>
  </w:style>
  <w:style w:type="character" w:styleId="-" w:customStyle="1">
    <w:name w:val="Hyperlink"/>
    <w:rPr>
      <w:color w:val="0000FF"/>
      <w:u w:val="single"/>
    </w:rPr>
  </w:style>
  <w:style w:type="character" w:styleId="Footnote" w:customStyle="1">
    <w:name w:val="Footnote"/>
    <w:basedOn w:val="11"/>
    <w:link w:val="Footnote1"/>
    <w:qFormat/>
    <w:rPr>
      <w:sz w:val="20"/>
    </w:rPr>
  </w:style>
  <w:style w:type="character" w:styleId="81" w:customStyle="1">
    <w:name w:val="Заголовок 8 Знак"/>
    <w:basedOn w:val="11"/>
    <w:qFormat/>
    <w:rPr>
      <w:b/>
      <w:sz w:val="24"/>
    </w:rPr>
  </w:style>
  <w:style w:type="character" w:styleId="14" w:customStyle="1">
    <w:name w:val="Оглавление 1 Знак"/>
    <w:link w:val="15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Style11" w:customStyle="1">
    <w:name w:val="Нижний колонтитул Знак"/>
    <w:basedOn w:val="11"/>
    <w:qFormat/>
    <w:rPr>
      <w:sz w:val="28"/>
    </w:rPr>
  </w:style>
  <w:style w:type="character" w:styleId="Style12" w:customStyle="1">
    <w:name w:val="Основной текст Знак"/>
    <w:basedOn w:val="11"/>
    <w:qFormat/>
    <w:rPr>
      <w:b/>
      <w:sz w:val="24"/>
    </w:rPr>
  </w:style>
  <w:style w:type="character" w:styleId="92" w:customStyle="1">
    <w:name w:val="Оглавление 9 Знак"/>
    <w:qFormat/>
    <w:rPr>
      <w:rFonts w:ascii="XO Thames" w:hAnsi="XO Thames"/>
      <w:sz w:val="28"/>
    </w:rPr>
  </w:style>
  <w:style w:type="character" w:styleId="C17" w:customStyle="1">
    <w:name w:val="c17"/>
    <w:qFormat/>
    <w:rPr/>
  </w:style>
  <w:style w:type="character" w:styleId="211" w:customStyle="1">
    <w:name w:val="Оглавление 2 Знак1"/>
    <w:basedOn w:val="11"/>
    <w:qFormat/>
    <w:rPr>
      <w:sz w:val="28"/>
    </w:rPr>
  </w:style>
  <w:style w:type="character" w:styleId="82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Подзаголовок Знак"/>
    <w:basedOn w:val="11"/>
    <w:qFormat/>
    <w:rPr>
      <w:b/>
      <w:i/>
      <w:sz w:val="24"/>
    </w:rPr>
  </w:style>
  <w:style w:type="character" w:styleId="Style14" w:customStyle="1">
    <w:name w:val="Заголовок Знак"/>
    <w:basedOn w:val="11"/>
    <w:qFormat/>
    <w:rPr>
      <w:b/>
      <w:i/>
      <w:sz w:val="24"/>
    </w:rPr>
  </w:style>
  <w:style w:type="character" w:styleId="43" w:customStyle="1">
    <w:name w:val="Заголовок 4 Знак"/>
    <w:basedOn w:val="11"/>
    <w:qFormat/>
    <w:rPr>
      <w:b/>
      <w:i/>
      <w:sz w:val="20"/>
    </w:rPr>
  </w:style>
  <w:style w:type="character" w:styleId="Style15" w:customStyle="1">
    <w:name w:val="Название объекта Знак"/>
    <w:basedOn w:val="11"/>
    <w:qFormat/>
    <w:rPr>
      <w:b/>
      <w:sz w:val="24"/>
    </w:rPr>
  </w:style>
  <w:style w:type="character" w:styleId="Style16">
    <w:name w:val="Выделение"/>
    <w:link w:val="16"/>
    <w:qFormat/>
    <w:rPr>
      <w:i/>
    </w:rPr>
  </w:style>
  <w:style w:type="character" w:styleId="212" w:customStyle="1">
    <w:name w:val="Основной текст с отступом 2 Знак1"/>
    <w:basedOn w:val="11"/>
    <w:qFormat/>
    <w:rPr>
      <w:b/>
      <w:sz w:val="20"/>
    </w:rPr>
  </w:style>
  <w:style w:type="character" w:styleId="611" w:customStyle="1">
    <w:name w:val="Оглавление 6 Знак1"/>
    <w:basedOn w:val="11"/>
    <w:qFormat/>
    <w:rPr>
      <w:sz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jc w:val="center"/>
    </w:pPr>
    <w:rPr>
      <w:b/>
      <w:sz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2">
    <w:name w:val="Title"/>
    <w:basedOn w:val="Normal"/>
    <w:next w:val="Style18"/>
    <w:uiPriority w:val="10"/>
    <w:qFormat/>
    <w:pPr>
      <w:jc w:val="center"/>
    </w:pPr>
    <w:rPr>
      <w:b/>
      <w:i/>
      <w:sz w:val="24"/>
    </w:rPr>
  </w:style>
  <w:style w:type="paragraph" w:styleId="Caption">
    <w:name w:val="caption"/>
    <w:basedOn w:val="Normal"/>
    <w:next w:val="Normal"/>
    <w:qFormat/>
    <w:pPr>
      <w:jc w:val="left"/>
    </w:pPr>
    <w:rPr>
      <w:b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3">
    <w:name w:val="TOC 2"/>
    <w:next w:val="Normal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2">
    <w:name w:val="TOC 6"/>
    <w:next w:val="Normal"/>
    <w:link w:val="61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3">
    <w:name w:val="TOC 7"/>
    <w:next w:val="Normal"/>
    <w:link w:val="71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  <w:jc w:val="left"/>
    </w:pPr>
    <w:rPr>
      <w:sz w:val="24"/>
    </w:rPr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  <w:jc w:val="left"/>
    </w:pPr>
    <w:rPr>
      <w:sz w:val="20"/>
    </w:rPr>
  </w:style>
  <w:style w:type="paragraph" w:styleId="15" w:customStyle="1">
    <w:name w:val="Строг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Endnote1" w:customStyle="1">
    <w:name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411" w:customStyle="1">
    <w:name w:val="Оглавление 4 Знак1"/>
    <w:basedOn w:val="Normal"/>
    <w:next w:val="Normal"/>
    <w:link w:val="43"/>
    <w:qFormat/>
    <w:pPr>
      <w:keepNext w:val="true"/>
      <w:jc w:val="center"/>
    </w:pPr>
    <w:rPr/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Верхний и нижний колонтитулы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jc w:val="left"/>
    </w:pPr>
    <w:rPr>
      <w:sz w:val="20"/>
    </w:rPr>
  </w:style>
  <w:style w:type="paragraph" w:styleId="Formattext1" w:customStyle="1">
    <w:name w:val="formattext"/>
    <w:basedOn w:val="Normal"/>
    <w:qFormat/>
    <w:pPr>
      <w:spacing w:beforeAutospacing="1" w:afterAutospacing="1"/>
      <w:jc w:val="left"/>
    </w:pPr>
    <w:rPr>
      <w:sz w:val="24"/>
    </w:rPr>
  </w:style>
  <w:style w:type="paragraph" w:styleId="Markedcontent1" w:customStyle="1">
    <w:name w:val="markedconten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6" w:customStyle="1">
    <w:name w:val="Текст сноски Знак1"/>
    <w:link w:val="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21" w:customStyle="1">
    <w:name w:val="c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11"/>
    <w:qFormat/>
    <w:pPr>
      <w:spacing w:lineRule="auto" w:line="480" w:before="0" w:after="120"/>
      <w:ind w:left="283" w:hanging="0"/>
    </w:pPr>
    <w:rPr/>
  </w:style>
  <w:style w:type="paragraph" w:styleId="BlockText">
    <w:name w:val="Block Text"/>
    <w:basedOn w:val="Normal"/>
    <w:qFormat/>
    <w:pPr>
      <w:ind w:left="-142" w:right="-285" w:firstLine="284"/>
    </w:pPr>
    <w:rPr/>
  </w:style>
  <w:style w:type="paragraph" w:styleId="111" w:customStyle="1">
    <w:name w:val="Оглавление 1 Знак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qFormat/>
    <w:pPr>
      <w:jc w:val="left"/>
    </w:pPr>
    <w:rPr>
      <w:sz w:val="20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93">
    <w:name w:val="TOC 9"/>
    <w:next w:val="Normal"/>
    <w:link w:val="91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8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171" w:customStyle="1">
    <w:name w:val="c1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83">
    <w:name w:val="TOC 8"/>
    <w:next w:val="Normal"/>
    <w:link w:val="81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>
    <w:name w:val="Subtitle"/>
    <w:basedOn w:val="Normal"/>
    <w:uiPriority w:val="11"/>
    <w:qFormat/>
    <w:pPr>
      <w:jc w:val="center"/>
    </w:pPr>
    <w:rPr>
      <w:b/>
      <w:i/>
      <w:sz w:val="24"/>
    </w:rPr>
  </w:style>
  <w:style w:type="paragraph" w:styleId="19" w:customStyle="1">
    <w:name w:val="Выделение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Style28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LibreOffice/7.5.2.1$Linux_X86_64 LibreOffice_project/50$Build-1</Application>
  <AppVersion>15.0000</AppVersion>
  <DocSecurity>4</DocSecurity>
  <Pages>9</Pages>
  <Words>2030</Words>
  <Characters>16360</Characters>
  <CharactersWithSpaces>18250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2023-07-20T11:51:00Z</dcterms:created>
  <dc:creator>Валерий Красов</dc:creator>
  <dc:description/>
  <dc:language>ru-RU</dc:language>
  <cp:lastModifiedBy/>
  <dcterms:modified xsi:type="dcterms:W3CDTF">2023-08-07T15:36:29Z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