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C"/>
  <w:body>
    <w:p w14:paraId="26ED5B8A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DD78B3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6C5461" w14:textId="77777777" w:rsidR="00000000" w:rsidRDefault="00D474D2">
      <w:pPr>
        <w:pStyle w:val="t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5FEDCFB3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45E44A" w14:textId="77777777" w:rsidR="00000000" w:rsidRDefault="00D474D2">
      <w:pPr>
        <w:pStyle w:val="t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3153B1B1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D49FBA" w14:textId="77777777" w:rsidR="00000000" w:rsidRDefault="00D474D2">
      <w:pPr>
        <w:pStyle w:val="t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208</w:t>
      </w:r>
    </w:p>
    <w:p w14:paraId="620086E6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4407C9" w14:textId="77777777" w:rsidR="00000000" w:rsidRDefault="00D474D2">
      <w:pPr>
        <w:pStyle w:val="c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51EB88E1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EEF7EE" w14:textId="77777777" w:rsidR="00000000" w:rsidRDefault="00D474D2">
      <w:pPr>
        <w:pStyle w:val="t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11AA3749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17AC7B" w14:textId="77777777" w:rsidR="00000000" w:rsidRDefault="00D474D2">
      <w:pPr>
        <w:pStyle w:val="c"/>
        <w:spacing w:line="300" w:lineRule="auto"/>
        <w:divId w:val="4493978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14:paraId="0940D709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861A69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четве</w:t>
      </w:r>
      <w:r>
        <w:rPr>
          <w:color w:val="333333"/>
          <w:sz w:val="27"/>
          <w:szCs w:val="27"/>
        </w:rPr>
        <w:t xml:space="preserve">ртой статьи 275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0EAFF315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</w:t>
      </w:r>
      <w:r>
        <w:rPr>
          <w:color w:val="333333"/>
          <w:sz w:val="27"/>
          <w:szCs w:val="27"/>
        </w:rPr>
        <w:t>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0F0D244E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органам государственной власти субъектов Российской Федерации и органам местного самоуправления руководствоваться настоящим </w:t>
      </w:r>
      <w:r>
        <w:rPr>
          <w:color w:val="333333"/>
          <w:sz w:val="27"/>
          <w:szCs w:val="27"/>
        </w:rPr>
        <w:lastRenderedPageBreak/>
        <w:t>постановлением при разработке и утверждении правил представления лицом, поступающим на работу на должность руководи</w:t>
      </w:r>
      <w:r>
        <w:rPr>
          <w:color w:val="333333"/>
          <w:sz w:val="27"/>
          <w:szCs w:val="27"/>
        </w:rPr>
        <w:t>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</w:t>
      </w:r>
      <w:r>
        <w:rPr>
          <w:color w:val="333333"/>
          <w:sz w:val="27"/>
          <w:szCs w:val="27"/>
        </w:rPr>
        <w:t>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</w:t>
      </w:r>
      <w:r>
        <w:rPr>
          <w:color w:val="333333"/>
          <w:sz w:val="27"/>
          <w:szCs w:val="27"/>
        </w:rPr>
        <w:t>муществе и обязательствах имущественного характера своих супруга (супруги) и несовершеннолетних детей.</w:t>
      </w:r>
    </w:p>
    <w:p w14:paraId="0636763E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62DAF3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767F7B" w14:textId="77777777" w:rsidR="00000000" w:rsidRDefault="00D474D2">
      <w:pPr>
        <w:pStyle w:val="i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3E057E68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CF24C2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C22388" w14:textId="77777777" w:rsidR="00000000" w:rsidRDefault="00D474D2">
      <w:pPr>
        <w:pStyle w:val="s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</w:t>
      </w:r>
      <w:r>
        <w:rPr>
          <w:color w:val="333333"/>
          <w:sz w:val="27"/>
          <w:szCs w:val="27"/>
        </w:rPr>
        <w:t>ации</w:t>
      </w:r>
      <w:r>
        <w:rPr>
          <w:color w:val="333333"/>
          <w:sz w:val="27"/>
          <w:szCs w:val="27"/>
        </w:rPr>
        <w:br/>
        <w:t>от 13 марта 2013 г. № 208</w:t>
      </w:r>
    </w:p>
    <w:p w14:paraId="6ED9F863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1AE208" w14:textId="77777777" w:rsidR="00000000" w:rsidRDefault="00D474D2">
      <w:pPr>
        <w:pStyle w:val="t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 xml:space="preserve"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</w:t>
      </w:r>
      <w:r>
        <w:rPr>
          <w:color w:val="333333"/>
          <w:sz w:val="27"/>
          <w:szCs w:val="27"/>
        </w:rPr>
        <w:t>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14:paraId="115E0E52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582938" w14:textId="77777777" w:rsidR="00000000" w:rsidRDefault="00D474D2">
      <w:pPr>
        <w:pStyle w:val="c"/>
        <w:spacing w:line="300" w:lineRule="auto"/>
        <w:divId w:val="4493978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</w:t>
      </w:r>
      <w:r>
        <w:rPr>
          <w:rStyle w:val="mark"/>
          <w:color w:val="333333"/>
          <w:sz w:val="27"/>
          <w:szCs w:val="27"/>
        </w:rPr>
        <w:t>Постановления Правительства Российской Федерации от 06.11.2014 № 1164)</w:t>
      </w:r>
    </w:p>
    <w:p w14:paraId="3132237C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88133A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</w:t>
      </w:r>
      <w:r>
        <w:rPr>
          <w:color w:val="333333"/>
          <w:sz w:val="27"/>
          <w:szCs w:val="27"/>
        </w:rPr>
        <w:t>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333333"/>
          <w:sz w:val="27"/>
          <w:szCs w:val="27"/>
        </w:rPr>
        <w:t>(далее - сведения о до</w:t>
      </w:r>
      <w:r>
        <w:rPr>
          <w:rStyle w:val="ed"/>
          <w:color w:val="333333"/>
          <w:sz w:val="27"/>
          <w:szCs w:val="27"/>
        </w:rPr>
        <w:t>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14:paraId="5E568756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Лицо, поступающее на должность руководителя федерального государственного учреждения, при поступлении на р</w:t>
      </w:r>
      <w:r>
        <w:rPr>
          <w:rStyle w:val="ed"/>
          <w:color w:val="333333"/>
          <w:sz w:val="27"/>
          <w:szCs w:val="27"/>
        </w:rPr>
        <w:t>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</w:t>
      </w:r>
      <w:r>
        <w:rPr>
          <w:rStyle w:val="ed"/>
          <w:color w:val="333333"/>
          <w:sz w:val="27"/>
          <w:szCs w:val="27"/>
        </w:rPr>
        <w:t xml:space="preserve">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</w:t>
      </w:r>
      <w:r>
        <w:rPr>
          <w:rStyle w:val="ed"/>
          <w:color w:val="333333"/>
          <w:sz w:val="27"/>
          <w:szCs w:val="27"/>
        </w:rPr>
        <w:t>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</w:t>
      </w:r>
      <w:r>
        <w:rPr>
          <w:rStyle w:val="ed"/>
          <w:color w:val="333333"/>
          <w:sz w:val="27"/>
          <w:szCs w:val="27"/>
        </w:rPr>
        <w:t xml:space="preserve">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</w:t>
      </w:r>
      <w:r>
        <w:rPr>
          <w:rStyle w:val="ed"/>
          <w:color w:val="333333"/>
          <w:sz w:val="27"/>
          <w:szCs w:val="27"/>
        </w:rPr>
        <w:t>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</w:t>
      </w:r>
      <w:r>
        <w:rPr>
          <w:rStyle w:val="ed"/>
          <w:color w:val="333333"/>
          <w:sz w:val="27"/>
          <w:szCs w:val="27"/>
        </w:rPr>
        <w:t>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1164 - с 1 января 2015 г.)</w:t>
      </w:r>
    </w:p>
    <w:p w14:paraId="3892E468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Руководитель федерального государственного учреждения ежегодно, не позднее 30 апреля года, следующего за отчетным, представляет свед</w:t>
      </w:r>
      <w:r>
        <w:rPr>
          <w:rStyle w:val="ed"/>
          <w:color w:val="333333"/>
          <w:sz w:val="27"/>
          <w:szCs w:val="27"/>
        </w:rPr>
        <w:t>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</w:t>
      </w:r>
      <w:r>
        <w:rPr>
          <w:rStyle w:val="ed"/>
          <w:color w:val="333333"/>
          <w:sz w:val="27"/>
          <w:szCs w:val="27"/>
        </w:rPr>
        <w:t xml:space="preserve">енного характера по состоянию на конец отчетного </w:t>
      </w:r>
      <w:r>
        <w:rPr>
          <w:rStyle w:val="ed"/>
          <w:color w:val="333333"/>
          <w:sz w:val="27"/>
          <w:szCs w:val="27"/>
        </w:rPr>
        <w:lastRenderedPageBreak/>
        <w:t>периода, а 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</w:t>
      </w:r>
      <w:r>
        <w:rPr>
          <w:rStyle w:val="ed"/>
          <w:color w:val="333333"/>
          <w:sz w:val="27"/>
          <w:szCs w:val="27"/>
        </w:rPr>
        <w:t xml:space="preserve">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 xml:space="preserve"> (В редакции Постановления </w:t>
      </w:r>
      <w:r>
        <w:rPr>
          <w:rStyle w:val="mark"/>
          <w:color w:val="333333"/>
          <w:sz w:val="27"/>
          <w:szCs w:val="27"/>
        </w:rPr>
        <w:t>Правительства Российской Федерации от 06.11.2014 № 1164 - с 1 января 2015 г.)</w:t>
      </w:r>
    </w:p>
    <w:p w14:paraId="76512E6A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14:paraId="236E8109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</w:t>
      </w:r>
      <w:r>
        <w:rPr>
          <w:color w:val="333333"/>
          <w:sz w:val="27"/>
          <w:szCs w:val="27"/>
        </w:rPr>
        <w:t>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</w:t>
      </w:r>
      <w:r>
        <w:rPr>
          <w:color w:val="333333"/>
          <w:sz w:val="27"/>
          <w:szCs w:val="27"/>
        </w:rPr>
        <w:t>ия </w:t>
      </w:r>
      <w:r>
        <w:rPr>
          <w:rStyle w:val="ed"/>
          <w:color w:val="333333"/>
          <w:sz w:val="27"/>
          <w:szCs w:val="27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14:paraId="6158F8BB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лицо, поступающее на должность руководителя федерального государс</w:t>
      </w:r>
      <w:r>
        <w:rPr>
          <w:rStyle w:val="ed"/>
          <w:color w:val="333333"/>
          <w:sz w:val="27"/>
          <w:szCs w:val="27"/>
        </w:rPr>
        <w:t>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</w:t>
      </w:r>
      <w:r>
        <w:rPr>
          <w:rStyle w:val="ed"/>
          <w:color w:val="333333"/>
          <w:sz w:val="27"/>
          <w:szCs w:val="27"/>
        </w:rPr>
        <w:t xml:space="preserve"> течение одного месяца со дня представления сведений в соответствии с пунктом 2 настоящих Правил.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06.11.2014 № 1164)</w:t>
      </w:r>
    </w:p>
    <w:p w14:paraId="2D4AFC32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</w:t>
      </w:r>
      <w:r>
        <w:rPr>
          <w:color w:val="333333"/>
          <w:sz w:val="27"/>
          <w:szCs w:val="27"/>
        </w:rPr>
        <w:t xml:space="preserve">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</w:t>
      </w:r>
      <w:r>
        <w:rPr>
          <w:color w:val="333333"/>
          <w:sz w:val="27"/>
          <w:szCs w:val="27"/>
        </w:rPr>
        <w:t>характера, если федеральным законом они не отнесены к сведениям, составляющим государственную тайну.</w:t>
      </w:r>
    </w:p>
    <w:p w14:paraId="30B9D0F9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</w:t>
      </w:r>
      <w:r>
        <w:rPr>
          <w:color w:val="333333"/>
          <w:sz w:val="27"/>
          <w:szCs w:val="27"/>
        </w:rPr>
        <w:t xml:space="preserve">полномочиями назначать на должность и </w:t>
      </w:r>
      <w:r>
        <w:rPr>
          <w:color w:val="333333"/>
          <w:sz w:val="27"/>
          <w:szCs w:val="27"/>
        </w:rPr>
        <w:lastRenderedPageBreak/>
        <w:t>освобождать от должности руководителя федерального государственного учреждения.</w:t>
      </w:r>
    </w:p>
    <w:p w14:paraId="6392ACE2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Сведения о доходах, об имуществе и обязательствах имущественного характера, представленные руководителем федерального государственного </w:t>
      </w:r>
      <w:r>
        <w:rPr>
          <w:rStyle w:val="ed"/>
          <w:color w:val="333333"/>
          <w:sz w:val="27"/>
          <w:szCs w:val="27"/>
        </w:rPr>
        <w:t>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</w:t>
      </w:r>
      <w:r>
        <w:rPr>
          <w:rStyle w:val="ed"/>
          <w:color w:val="333333"/>
          <w:sz w:val="27"/>
          <w:szCs w:val="27"/>
        </w:rPr>
        <w:t>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color w:val="333333"/>
          <w:sz w:val="27"/>
          <w:szCs w:val="27"/>
        </w:rPr>
        <w:t xml:space="preserve"> (Дополнен с 1 января 2015 г. - Постановление </w:t>
      </w:r>
      <w:r>
        <w:rPr>
          <w:rStyle w:val="mark"/>
          <w:color w:val="333333"/>
          <w:sz w:val="27"/>
          <w:szCs w:val="27"/>
        </w:rPr>
        <w:t>Правительства Российской Федерации от 06.11.2014 № 1164)</w:t>
      </w:r>
    </w:p>
    <w:p w14:paraId="0CFF3E6F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0AE41E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DE2ACA" w14:textId="77777777" w:rsidR="00000000" w:rsidRDefault="00D474D2">
      <w:pPr>
        <w:pStyle w:val="s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</w:t>
      </w:r>
      <w:r>
        <w:rPr>
          <w:color w:val="333333"/>
          <w:sz w:val="27"/>
          <w:szCs w:val="27"/>
        </w:rPr>
        <w:t>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14:paraId="611C63B1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29751D" w14:textId="77777777" w:rsidR="00000000" w:rsidRDefault="00D474D2">
      <w:pPr>
        <w:pStyle w:val="p"/>
        <w:spacing w:line="300" w:lineRule="auto"/>
        <w:divId w:val="4493978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</w:t>
      </w:r>
      <w:r>
        <w:rPr>
          <w:rStyle w:val="mark"/>
          <w:color w:val="333333"/>
          <w:sz w:val="27"/>
          <w:szCs w:val="27"/>
        </w:rPr>
        <w:t xml:space="preserve"> Правительства Российской Федерации от 06.11.2014 № 1164)</w:t>
      </w:r>
    </w:p>
    <w:p w14:paraId="667E9E05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810068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F96069" w14:textId="77777777" w:rsidR="00000000" w:rsidRDefault="00D474D2">
      <w:pPr>
        <w:pStyle w:val="s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 № 2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</w:t>
      </w:r>
      <w:r>
        <w:rPr>
          <w:color w:val="333333"/>
          <w:sz w:val="27"/>
          <w:szCs w:val="27"/>
        </w:rPr>
        <w:t>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14:paraId="7EF472AF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E09BEA" w14:textId="77777777" w:rsidR="00000000" w:rsidRDefault="00D474D2">
      <w:pPr>
        <w:pStyle w:val="p"/>
        <w:spacing w:line="300" w:lineRule="auto"/>
        <w:divId w:val="4493978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</w:t>
      </w:r>
      <w:r>
        <w:rPr>
          <w:rStyle w:val="mark"/>
          <w:color w:val="333333"/>
          <w:sz w:val="27"/>
          <w:szCs w:val="27"/>
        </w:rPr>
        <w:t>е Правительства Российской Федерации от 06.11.2014 № 1164)</w:t>
      </w:r>
    </w:p>
    <w:p w14:paraId="7DCA08B1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BC6058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C8EC0E" w14:textId="77777777" w:rsidR="00000000" w:rsidRDefault="00D474D2">
      <w:pPr>
        <w:pStyle w:val="s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</w:t>
      </w:r>
      <w:r>
        <w:rPr>
          <w:color w:val="333333"/>
          <w:sz w:val="27"/>
          <w:szCs w:val="27"/>
        </w:rPr>
        <w:t>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3214B7FE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5FE35C1F" w14:textId="77777777" w:rsidR="00000000" w:rsidRDefault="00D474D2">
      <w:pPr>
        <w:pStyle w:val="p"/>
        <w:spacing w:line="300" w:lineRule="auto"/>
        <w:divId w:val="4493978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</w:t>
      </w:r>
      <w:r>
        <w:rPr>
          <w:rStyle w:val="mark"/>
          <w:color w:val="333333"/>
          <w:sz w:val="27"/>
          <w:szCs w:val="27"/>
        </w:rPr>
        <w:t>ие Правительства Российской Федерации от 06.11.2014 № 1164)</w:t>
      </w:r>
    </w:p>
    <w:p w14:paraId="3051EABA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A6B6C3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BE44D7" w14:textId="77777777" w:rsidR="00000000" w:rsidRDefault="00D474D2">
      <w:pPr>
        <w:pStyle w:val="s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 xml:space="preserve"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35639218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E88014" w14:textId="77777777" w:rsidR="00000000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14:paraId="3D86658B" w14:textId="77777777" w:rsidR="00D474D2" w:rsidRDefault="00D474D2">
      <w:pPr>
        <w:pStyle w:val="a3"/>
        <w:spacing w:line="300" w:lineRule="auto"/>
        <w:divId w:val="449397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4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1D"/>
    <w:rsid w:val="00C2621D"/>
    <w:rsid w:val="00D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71BEC"/>
  <w15:chartTrackingRefBased/>
  <w15:docId w15:val="{43925399-A688-45C5-8814-9A926415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39783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MonoliT</dc:creator>
  <cp:keywords/>
  <dc:description/>
  <cp:lastModifiedBy>MonoliT</cp:lastModifiedBy>
  <cp:revision>2</cp:revision>
  <dcterms:created xsi:type="dcterms:W3CDTF">2024-07-08T12:58:00Z</dcterms:created>
  <dcterms:modified xsi:type="dcterms:W3CDTF">2024-07-08T12:58:00Z</dcterms:modified>
</cp:coreProperties>
</file>